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3C31" w14:textId="70DD0831" w:rsidR="0061220D" w:rsidRDefault="007A0145" w:rsidP="005C43B5">
      <w:pPr>
        <w:spacing w:after="0" w:line="240" w:lineRule="exact"/>
        <w:jc w:val="center"/>
        <w:rPr>
          <w:rStyle w:val="Collegamentoipertestuale"/>
          <w:rFonts w:ascii="Times New Roman" w:eastAsia="Times New Roman" w:hAnsi="Times New Roman"/>
          <w:i/>
          <w:lang w:eastAsia="it-IT"/>
        </w:rPr>
      </w:pPr>
      <w:r>
        <w:fldChar w:fldCharType="begin"/>
      </w:r>
      <w:r>
        <w:instrText xml:space="preserve"> HYPERLINK "http://www.expartecreditoris.it" </w:instrText>
      </w:r>
      <w:r>
        <w:fldChar w:fldCharType="separate"/>
      </w:r>
      <w:r w:rsidR="00530DB7" w:rsidRPr="005C43B5">
        <w:rPr>
          <w:rStyle w:val="Collegamentoipertestuale"/>
          <w:rFonts w:ascii="Times New Roman" w:eastAsia="Times New Roman" w:hAnsi="Times New Roman"/>
          <w:i/>
          <w:lang w:eastAsia="it-IT"/>
        </w:rPr>
        <w:t>www.expartecreditoris.it</w:t>
      </w:r>
      <w:r>
        <w:rPr>
          <w:rStyle w:val="Collegamentoipertestuale"/>
          <w:rFonts w:ascii="Times New Roman" w:eastAsia="Times New Roman" w:hAnsi="Times New Roman"/>
          <w:i/>
          <w:lang w:eastAsia="it-IT"/>
        </w:rPr>
        <w:fldChar w:fldCharType="end"/>
      </w:r>
    </w:p>
    <w:p w14:paraId="6A90239B" w14:textId="77777777" w:rsidR="007A0145" w:rsidRPr="005C43B5" w:rsidRDefault="007A0145" w:rsidP="005C43B5">
      <w:pPr>
        <w:spacing w:after="0" w:line="240" w:lineRule="exact"/>
        <w:jc w:val="center"/>
        <w:rPr>
          <w:rFonts w:ascii="Times New Roman" w:eastAsia="Times New Roman" w:hAnsi="Times New Roman"/>
          <w:i/>
          <w:color w:val="000000"/>
          <w:lang w:eastAsia="it-IT"/>
        </w:rPr>
      </w:pPr>
    </w:p>
    <w:p w14:paraId="1EEA7E7D" w14:textId="77777777" w:rsidR="007A0145" w:rsidRPr="007A0145" w:rsidRDefault="007A0145" w:rsidP="007A0145">
      <w:pPr>
        <w:spacing w:after="0" w:line="240" w:lineRule="exact"/>
        <w:jc w:val="center"/>
        <w:textAlignment w:val="baseline"/>
        <w:rPr>
          <w:rFonts w:ascii="Times New Roman" w:eastAsia="Georgia" w:hAnsi="Times New Roman"/>
          <w:b/>
          <w:color w:val="000000" w:themeColor="text1"/>
        </w:rPr>
      </w:pPr>
      <w:r w:rsidRPr="007A0145">
        <w:rPr>
          <w:rFonts w:ascii="Times New Roman" w:eastAsia="Georgia" w:hAnsi="Times New Roman"/>
          <w:b/>
          <w:color w:val="000000" w:themeColor="text1"/>
        </w:rPr>
        <w:t>REPUBBLICA ITALIANA</w:t>
      </w:r>
    </w:p>
    <w:p w14:paraId="25034DFD" w14:textId="77777777" w:rsidR="007A0145" w:rsidRPr="007A0145" w:rsidRDefault="007A0145" w:rsidP="007A0145">
      <w:pPr>
        <w:spacing w:after="0" w:line="240" w:lineRule="exact"/>
        <w:jc w:val="center"/>
        <w:textAlignment w:val="baseline"/>
        <w:rPr>
          <w:rFonts w:ascii="Times New Roman" w:eastAsia="Georgia" w:hAnsi="Times New Roman"/>
          <w:b/>
          <w:color w:val="000000" w:themeColor="text1"/>
        </w:rPr>
      </w:pPr>
      <w:r w:rsidRPr="007A0145">
        <w:rPr>
          <w:rFonts w:ascii="Times New Roman" w:eastAsia="Georgia" w:hAnsi="Times New Roman"/>
          <w:b/>
          <w:color w:val="000000" w:themeColor="text1"/>
        </w:rPr>
        <w:t>IN NOME DEL POPOLO ITALIANO</w:t>
      </w:r>
    </w:p>
    <w:p w14:paraId="0AD3AED1"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Il Tribunale di Santa Maria Capua Vetere, sezione III, in persona del G.U. Dr.ssa Marta Sodano, ha pronunciato la seguente</w:t>
      </w:r>
    </w:p>
    <w:p w14:paraId="75E63B79" w14:textId="77777777" w:rsidR="007A0145" w:rsidRPr="007A0145" w:rsidRDefault="007A0145" w:rsidP="007A0145">
      <w:pPr>
        <w:spacing w:after="0" w:line="240" w:lineRule="exact"/>
        <w:jc w:val="center"/>
        <w:textAlignment w:val="baseline"/>
        <w:rPr>
          <w:rFonts w:ascii="Times New Roman" w:eastAsia="Georgia" w:hAnsi="Times New Roman"/>
          <w:b/>
          <w:color w:val="000000" w:themeColor="text1"/>
        </w:rPr>
      </w:pPr>
      <w:r w:rsidRPr="007A0145">
        <w:rPr>
          <w:rFonts w:ascii="Times New Roman" w:eastAsia="Georgia" w:hAnsi="Times New Roman"/>
          <w:b/>
          <w:color w:val="000000" w:themeColor="text1"/>
        </w:rPr>
        <w:t>SENTENZA</w:t>
      </w:r>
    </w:p>
    <w:p w14:paraId="1C848FF7"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Nella causa civile iscritta al </w:t>
      </w:r>
      <w:r w:rsidRPr="007A0145">
        <w:rPr>
          <w:rFonts w:ascii="Times New Roman" w:eastAsia="Georgia" w:hAnsi="Times New Roman"/>
          <w:b/>
          <w:color w:val="000000" w:themeColor="text1"/>
        </w:rPr>
        <w:t xml:space="preserve">R.G.A.C. N. </w:t>
      </w:r>
      <w:proofErr w:type="spellStart"/>
      <w:r w:rsidRPr="007A0145">
        <w:rPr>
          <w:rFonts w:ascii="Times New Roman" w:eastAsia="Georgia" w:hAnsi="Times New Roman"/>
          <w:b/>
          <w:color w:val="000000" w:themeColor="text1"/>
        </w:rPr>
        <w:t>xxxx</w:t>
      </w:r>
      <w:proofErr w:type="spellEnd"/>
      <w:r w:rsidRPr="007A0145">
        <w:rPr>
          <w:rFonts w:ascii="Times New Roman" w:eastAsia="Georgia" w:hAnsi="Times New Roman"/>
          <w:b/>
          <w:color w:val="000000" w:themeColor="text1"/>
        </w:rPr>
        <w:t xml:space="preserve">/2019 </w:t>
      </w:r>
      <w:r w:rsidRPr="007A0145">
        <w:rPr>
          <w:rFonts w:ascii="Times New Roman" w:eastAsia="Georgia" w:hAnsi="Times New Roman"/>
          <w:color w:val="000000" w:themeColor="text1"/>
        </w:rPr>
        <w:t>avente ad oggetto contratto di mutuo fondiario pendente</w:t>
      </w:r>
    </w:p>
    <w:p w14:paraId="2493A5B6" w14:textId="77777777" w:rsidR="007A0145" w:rsidRPr="007A0145" w:rsidRDefault="007A0145" w:rsidP="007A0145">
      <w:pPr>
        <w:spacing w:after="0" w:line="240" w:lineRule="exact"/>
        <w:jc w:val="center"/>
        <w:textAlignment w:val="baseline"/>
        <w:rPr>
          <w:rFonts w:ascii="Times New Roman" w:eastAsia="Georgia" w:hAnsi="Times New Roman"/>
          <w:b/>
          <w:color w:val="000000" w:themeColor="text1"/>
        </w:rPr>
      </w:pPr>
      <w:r w:rsidRPr="007A0145">
        <w:rPr>
          <w:rFonts w:ascii="Times New Roman" w:eastAsia="Georgia" w:hAnsi="Times New Roman"/>
          <w:b/>
          <w:color w:val="000000" w:themeColor="text1"/>
        </w:rPr>
        <w:t>TRA</w:t>
      </w:r>
    </w:p>
    <w:p w14:paraId="4F490CAF"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b/>
          <w:color w:val="000000" w:themeColor="text1"/>
        </w:rPr>
        <w:t>MUTUATARIO</w:t>
      </w:r>
      <w:r w:rsidRPr="007A0145">
        <w:rPr>
          <w:rFonts w:ascii="Times New Roman" w:eastAsia="Georgia" w:hAnsi="Times New Roman"/>
          <w:color w:val="000000" w:themeColor="text1"/>
        </w:rPr>
        <w:t>;</w:t>
      </w:r>
    </w:p>
    <w:p w14:paraId="4078800C" w14:textId="77777777" w:rsidR="007A0145" w:rsidRPr="007A0145" w:rsidRDefault="007A0145" w:rsidP="007A0145">
      <w:pPr>
        <w:spacing w:after="0" w:line="240" w:lineRule="exact"/>
        <w:jc w:val="right"/>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attore </w:t>
      </w:r>
    </w:p>
    <w:p w14:paraId="69D52A78" w14:textId="77777777" w:rsidR="007A0145" w:rsidRPr="007A0145" w:rsidRDefault="007A0145" w:rsidP="007A0145">
      <w:pPr>
        <w:spacing w:after="0" w:line="240" w:lineRule="exact"/>
        <w:jc w:val="center"/>
        <w:textAlignment w:val="baseline"/>
        <w:rPr>
          <w:rFonts w:ascii="Times New Roman" w:eastAsia="Georgia" w:hAnsi="Times New Roman"/>
          <w:color w:val="000000" w:themeColor="text1"/>
        </w:rPr>
      </w:pPr>
      <w:r w:rsidRPr="007A0145">
        <w:rPr>
          <w:rFonts w:ascii="Times New Roman" w:eastAsia="Georgia" w:hAnsi="Times New Roman"/>
          <w:b/>
          <w:color w:val="000000" w:themeColor="text1"/>
        </w:rPr>
        <w:t>E</w:t>
      </w:r>
    </w:p>
    <w:p w14:paraId="31CB1CD4" w14:textId="77777777" w:rsidR="007A0145" w:rsidRPr="007A0145" w:rsidRDefault="007A0145" w:rsidP="007A0145">
      <w:pPr>
        <w:spacing w:after="0" w:line="240" w:lineRule="exact"/>
        <w:jc w:val="both"/>
        <w:textAlignment w:val="baseline"/>
        <w:rPr>
          <w:rFonts w:ascii="Times New Roman" w:eastAsia="Georgia" w:hAnsi="Times New Roman"/>
          <w:b/>
          <w:color w:val="000000" w:themeColor="text1"/>
        </w:rPr>
      </w:pPr>
      <w:r w:rsidRPr="007A0145">
        <w:rPr>
          <w:rFonts w:ascii="Times New Roman" w:eastAsia="Georgia" w:hAnsi="Times New Roman"/>
          <w:b/>
          <w:color w:val="000000" w:themeColor="text1"/>
        </w:rPr>
        <w:t>BANCA INCORPORANTE</w:t>
      </w:r>
      <w:r w:rsidRPr="007A0145">
        <w:rPr>
          <w:rFonts w:ascii="Times New Roman" w:eastAsia="Georgia" w:hAnsi="Times New Roman"/>
          <w:color w:val="000000" w:themeColor="text1"/>
        </w:rPr>
        <w:t>;</w:t>
      </w:r>
    </w:p>
    <w:p w14:paraId="581DC5AF" w14:textId="77777777" w:rsidR="007A0145" w:rsidRPr="007A0145" w:rsidRDefault="007A0145" w:rsidP="007A0145">
      <w:pPr>
        <w:spacing w:after="0" w:line="240" w:lineRule="exact"/>
        <w:jc w:val="right"/>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convenuta e attrice in riconvenzionale</w:t>
      </w:r>
    </w:p>
    <w:p w14:paraId="0935AE28" w14:textId="77777777" w:rsidR="007A0145" w:rsidRPr="007A0145" w:rsidRDefault="007A0145" w:rsidP="007A0145">
      <w:pPr>
        <w:spacing w:after="0" w:line="240" w:lineRule="exact"/>
        <w:jc w:val="center"/>
        <w:textAlignment w:val="baseline"/>
        <w:rPr>
          <w:rFonts w:ascii="Times New Roman" w:eastAsia="Georgia" w:hAnsi="Times New Roman"/>
          <w:b/>
          <w:color w:val="000000" w:themeColor="text1"/>
        </w:rPr>
      </w:pPr>
      <w:r w:rsidRPr="007A0145">
        <w:rPr>
          <w:rFonts w:ascii="Times New Roman" w:eastAsia="Georgia" w:hAnsi="Times New Roman"/>
          <w:b/>
          <w:color w:val="000000" w:themeColor="text1"/>
        </w:rPr>
        <w:t>CONCLUSIONI</w:t>
      </w:r>
    </w:p>
    <w:p w14:paraId="6B66F75D"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Le parti costituite hanno concluso riportandosi a tutti i propri atti e scritti difensivi, nonché alle note di trattazione scritta depositate all’udienza di precisazione delle conclusioni del 30.11.2021.</w:t>
      </w:r>
    </w:p>
    <w:p w14:paraId="682CABE2" w14:textId="77777777" w:rsidR="007A0145" w:rsidRPr="007A0145" w:rsidRDefault="007A0145" w:rsidP="007A0145">
      <w:pPr>
        <w:spacing w:after="0" w:line="240" w:lineRule="exact"/>
        <w:jc w:val="center"/>
        <w:textAlignment w:val="baseline"/>
        <w:rPr>
          <w:rFonts w:ascii="Times New Roman" w:eastAsia="Georgia" w:hAnsi="Times New Roman"/>
          <w:b/>
          <w:color w:val="000000" w:themeColor="text1"/>
        </w:rPr>
      </w:pPr>
    </w:p>
    <w:p w14:paraId="14CAFC1C" w14:textId="77777777" w:rsidR="007A0145" w:rsidRPr="007A0145" w:rsidRDefault="007A0145" w:rsidP="007A0145">
      <w:pPr>
        <w:spacing w:after="0" w:line="240" w:lineRule="exact"/>
        <w:jc w:val="center"/>
        <w:textAlignment w:val="baseline"/>
        <w:rPr>
          <w:rFonts w:ascii="Times New Roman" w:eastAsia="Georgia" w:hAnsi="Times New Roman"/>
          <w:b/>
          <w:color w:val="000000" w:themeColor="text1"/>
        </w:rPr>
      </w:pPr>
      <w:r w:rsidRPr="007A0145">
        <w:rPr>
          <w:rFonts w:ascii="Times New Roman" w:eastAsia="Georgia" w:hAnsi="Times New Roman"/>
          <w:b/>
          <w:color w:val="000000" w:themeColor="text1"/>
        </w:rPr>
        <w:t>MOTIVI DELLA DECISIONE</w:t>
      </w:r>
    </w:p>
    <w:p w14:paraId="4A366D14"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Con atto di citazione ritualmente notificato, il sig. </w:t>
      </w:r>
      <w:r w:rsidRPr="007A0145">
        <w:rPr>
          <w:rFonts w:ascii="Times New Roman" w:eastAsia="Georgia" w:hAnsi="Times New Roman"/>
          <w:b/>
          <w:bCs/>
          <w:color w:val="000000" w:themeColor="text1"/>
        </w:rPr>
        <w:t>MUTUATARIO</w:t>
      </w:r>
      <w:r w:rsidRPr="007A0145">
        <w:rPr>
          <w:rFonts w:ascii="Times New Roman" w:eastAsia="Georgia" w:hAnsi="Times New Roman"/>
          <w:color w:val="000000" w:themeColor="text1"/>
        </w:rPr>
        <w:t xml:space="preserve"> ha evocato in giudizio la </w:t>
      </w:r>
      <w:r w:rsidRPr="007A0145">
        <w:rPr>
          <w:rFonts w:ascii="Times New Roman" w:eastAsia="Georgia" w:hAnsi="Times New Roman"/>
          <w:b/>
          <w:bCs/>
          <w:color w:val="000000" w:themeColor="text1"/>
        </w:rPr>
        <w:t>BANCA INCORPORANTE</w:t>
      </w:r>
      <w:r w:rsidRPr="007A0145">
        <w:rPr>
          <w:rFonts w:ascii="Times New Roman" w:eastAsia="Georgia" w:hAnsi="Times New Roman"/>
          <w:color w:val="000000" w:themeColor="text1"/>
        </w:rPr>
        <w:t xml:space="preserve">, e premettendo di aver sottoscritto il contratto di mutuo fondiario in data 19.4.2005 con </w:t>
      </w:r>
      <w:r w:rsidRPr="007A0145">
        <w:rPr>
          <w:rFonts w:ascii="Times New Roman" w:eastAsia="Georgia" w:hAnsi="Times New Roman"/>
          <w:b/>
          <w:bCs/>
          <w:color w:val="000000" w:themeColor="text1"/>
        </w:rPr>
        <w:t>BANCA MUTUANTE</w:t>
      </w:r>
      <w:r w:rsidRPr="007A0145">
        <w:rPr>
          <w:rFonts w:ascii="Times New Roman" w:eastAsia="Georgia" w:hAnsi="Times New Roman"/>
          <w:color w:val="000000" w:themeColor="text1"/>
        </w:rPr>
        <w:t xml:space="preserve"> (ora </w:t>
      </w:r>
      <w:r w:rsidRPr="007A0145">
        <w:rPr>
          <w:rFonts w:ascii="Times New Roman" w:eastAsia="Georgia" w:hAnsi="Times New Roman"/>
          <w:b/>
          <w:bCs/>
          <w:color w:val="000000" w:themeColor="text1"/>
        </w:rPr>
        <w:t>BANCA INCORPORANTE</w:t>
      </w:r>
      <w:r w:rsidRPr="007A0145">
        <w:rPr>
          <w:rFonts w:ascii="Times New Roman" w:eastAsia="Georgia" w:hAnsi="Times New Roman"/>
          <w:color w:val="000000" w:themeColor="text1"/>
        </w:rPr>
        <w:t>.), di importo pari ad € 135.000,00, da restituire in 360 rate mensili da corrispondersi in 30 anni ha dedotto che il mutuo in oggetto –anticipatamente estinto 17/10/2008 - sarebbe nullo per violazione dell’art. 38, comma 2, D. Lgs. n. 385/1993, non essendo stato rispettato il limite di finanziabilità – pari all’80% del valore del bene ipotecato – previsto dalla delibera CICR del 22/4/1995, essendo stato acquistato il bene ipotecato dietro versamento del prezzo di € 67.000,00.</w:t>
      </w:r>
    </w:p>
    <w:p w14:paraId="250366DE"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Sulla scorta di tali rilievi, parte attrice ha sollecitato la restituzione delle somme versate a titolo di interessi sino alla data di estinzione del rapporto di mutuo, chiedendo accertarsi e dichiararsi </w:t>
      </w:r>
      <w:r w:rsidRPr="007A0145">
        <w:rPr>
          <w:rFonts w:ascii="Times New Roman" w:eastAsia="Georgia" w:hAnsi="Times New Roman"/>
          <w:i/>
          <w:color w:val="000000" w:themeColor="text1"/>
        </w:rPr>
        <w:t xml:space="preserve">la nullità del mutuo ex art. 38 e ss. d.lgs. 1° settembre 1993 n. 385 e D.P.R. 29 settembre 1973 n. 601, per l’importo di € 135.000,00 sottoscritto in data 19 aprile 2005, con atto per Notaio </w:t>
      </w:r>
      <w:r w:rsidRPr="007A0145">
        <w:rPr>
          <w:rFonts w:ascii="Times New Roman" w:eastAsia="Georgia" w:hAnsi="Times New Roman"/>
          <w:b/>
          <w:bCs/>
          <w:i/>
          <w:color w:val="000000" w:themeColor="text1"/>
        </w:rPr>
        <w:t>OMISSIS</w:t>
      </w:r>
      <w:r w:rsidRPr="007A0145">
        <w:rPr>
          <w:rFonts w:ascii="Times New Roman" w:eastAsia="Georgia" w:hAnsi="Times New Roman"/>
          <w:i/>
          <w:color w:val="000000" w:themeColor="text1"/>
        </w:rPr>
        <w:t xml:space="preserve">, Rep. </w:t>
      </w:r>
      <w:proofErr w:type="spellStart"/>
      <w:r w:rsidRPr="007A0145">
        <w:rPr>
          <w:rFonts w:ascii="Times New Roman" w:eastAsia="Georgia" w:hAnsi="Times New Roman"/>
          <w:i/>
          <w:color w:val="000000" w:themeColor="text1"/>
        </w:rPr>
        <w:t>xxxxx</w:t>
      </w:r>
      <w:proofErr w:type="spellEnd"/>
      <w:r w:rsidRPr="007A0145">
        <w:rPr>
          <w:rFonts w:ascii="Times New Roman" w:eastAsia="Georgia" w:hAnsi="Times New Roman"/>
          <w:i/>
          <w:color w:val="000000" w:themeColor="text1"/>
        </w:rPr>
        <w:t xml:space="preserve">, racc. </w:t>
      </w:r>
      <w:proofErr w:type="spellStart"/>
      <w:r w:rsidRPr="007A0145">
        <w:rPr>
          <w:rFonts w:ascii="Times New Roman" w:eastAsia="Georgia" w:hAnsi="Times New Roman"/>
          <w:i/>
          <w:color w:val="000000" w:themeColor="text1"/>
        </w:rPr>
        <w:t>xxxxx</w:t>
      </w:r>
      <w:proofErr w:type="spellEnd"/>
      <w:r w:rsidRPr="007A0145">
        <w:rPr>
          <w:rFonts w:ascii="Times New Roman" w:eastAsia="Georgia" w:hAnsi="Times New Roman"/>
          <w:i/>
          <w:color w:val="000000" w:themeColor="text1"/>
        </w:rPr>
        <w:t xml:space="preserve">, dalla </w:t>
      </w:r>
      <w:r w:rsidRPr="007A0145">
        <w:rPr>
          <w:rFonts w:ascii="Times New Roman" w:eastAsia="Georgia" w:hAnsi="Times New Roman"/>
          <w:b/>
          <w:bCs/>
          <w:i/>
          <w:color w:val="000000" w:themeColor="text1"/>
        </w:rPr>
        <w:t>BANCA MUTUANTE</w:t>
      </w:r>
      <w:r w:rsidRPr="007A0145">
        <w:rPr>
          <w:rFonts w:ascii="Times New Roman" w:eastAsia="Georgia" w:hAnsi="Times New Roman"/>
          <w:i/>
          <w:color w:val="000000" w:themeColor="text1"/>
        </w:rPr>
        <w:t xml:space="preserve"> con il signor </w:t>
      </w:r>
      <w:r w:rsidRPr="007A0145">
        <w:rPr>
          <w:rFonts w:ascii="Times New Roman" w:eastAsia="Georgia" w:hAnsi="Times New Roman"/>
          <w:b/>
          <w:bCs/>
          <w:i/>
          <w:color w:val="000000" w:themeColor="text1"/>
        </w:rPr>
        <w:t>MUTUATARIO</w:t>
      </w:r>
      <w:r w:rsidRPr="007A0145">
        <w:rPr>
          <w:rFonts w:ascii="Times New Roman" w:eastAsia="Georgia" w:hAnsi="Times New Roman"/>
          <w:i/>
          <w:color w:val="000000" w:themeColor="text1"/>
        </w:rPr>
        <w:t xml:space="preserve"> contratto di mutuo, per tutto quanto ampiamente esposto in atti; - per l’effetto, condannare la </w:t>
      </w:r>
      <w:r w:rsidRPr="007A0145">
        <w:rPr>
          <w:rFonts w:ascii="Times New Roman" w:eastAsia="Georgia" w:hAnsi="Times New Roman"/>
          <w:b/>
          <w:bCs/>
          <w:i/>
          <w:color w:val="000000" w:themeColor="text1"/>
        </w:rPr>
        <w:t>BANCA INCORPORANTE</w:t>
      </w:r>
      <w:r w:rsidRPr="007A0145">
        <w:rPr>
          <w:rFonts w:ascii="Times New Roman" w:eastAsia="Georgia" w:hAnsi="Times New Roman"/>
          <w:i/>
          <w:color w:val="000000" w:themeColor="text1"/>
        </w:rPr>
        <w:t xml:space="preserve">, (incorporante per fusione </w:t>
      </w:r>
      <w:r w:rsidRPr="007A0145">
        <w:rPr>
          <w:rFonts w:ascii="Times New Roman" w:eastAsia="Georgia" w:hAnsi="Times New Roman"/>
          <w:b/>
          <w:bCs/>
          <w:i/>
          <w:color w:val="000000" w:themeColor="text1"/>
        </w:rPr>
        <w:t>BANCA MUTUANTE</w:t>
      </w:r>
      <w:r w:rsidRPr="007A0145">
        <w:rPr>
          <w:rFonts w:ascii="Times New Roman" w:eastAsia="Georgia" w:hAnsi="Times New Roman"/>
          <w:i/>
          <w:color w:val="000000" w:themeColor="text1"/>
        </w:rPr>
        <w:t xml:space="preserve">), alla ripetizione ovvero al rimborso in favore del signor </w:t>
      </w:r>
      <w:r w:rsidRPr="007A0145">
        <w:rPr>
          <w:rFonts w:ascii="Times New Roman" w:eastAsia="Georgia" w:hAnsi="Times New Roman"/>
          <w:b/>
          <w:bCs/>
          <w:i/>
          <w:color w:val="000000" w:themeColor="text1"/>
        </w:rPr>
        <w:t>MUTUATARIO</w:t>
      </w:r>
      <w:r w:rsidRPr="007A0145">
        <w:rPr>
          <w:rFonts w:ascii="Times New Roman" w:eastAsia="Georgia" w:hAnsi="Times New Roman"/>
          <w:i/>
          <w:color w:val="000000" w:themeColor="text1"/>
        </w:rPr>
        <w:t xml:space="preserve"> delle somme indebitamente corrisposte in virtù del mutuo ex art. 38 e ss. d.lgs. 1° settembre 1993 n. 385 e D.P.R. 29 settembre 1973 n. 601, per l’importo di € 135.000,00 sottoscritto in data 19 aprile 2005, con atto per Notaio </w:t>
      </w:r>
      <w:r w:rsidRPr="007A0145">
        <w:rPr>
          <w:rFonts w:ascii="Times New Roman" w:eastAsia="Georgia" w:hAnsi="Times New Roman"/>
          <w:b/>
          <w:bCs/>
          <w:i/>
          <w:color w:val="000000" w:themeColor="text1"/>
        </w:rPr>
        <w:t>OMISSIS</w:t>
      </w:r>
      <w:r w:rsidRPr="007A0145">
        <w:rPr>
          <w:rFonts w:ascii="Times New Roman" w:eastAsia="Georgia" w:hAnsi="Times New Roman"/>
          <w:i/>
          <w:color w:val="000000" w:themeColor="text1"/>
        </w:rPr>
        <w:t xml:space="preserve">, Rep. </w:t>
      </w:r>
      <w:proofErr w:type="spellStart"/>
      <w:r w:rsidRPr="007A0145">
        <w:rPr>
          <w:rFonts w:ascii="Times New Roman" w:eastAsia="Georgia" w:hAnsi="Times New Roman"/>
          <w:i/>
          <w:color w:val="000000" w:themeColor="text1"/>
        </w:rPr>
        <w:t>xxxxx</w:t>
      </w:r>
      <w:proofErr w:type="spellEnd"/>
      <w:r w:rsidRPr="007A0145">
        <w:rPr>
          <w:rFonts w:ascii="Times New Roman" w:eastAsia="Georgia" w:hAnsi="Times New Roman"/>
          <w:i/>
          <w:color w:val="000000" w:themeColor="text1"/>
        </w:rPr>
        <w:t xml:space="preserve">, racc. </w:t>
      </w:r>
      <w:proofErr w:type="spellStart"/>
      <w:r w:rsidRPr="007A0145">
        <w:rPr>
          <w:rFonts w:ascii="Times New Roman" w:eastAsia="Georgia" w:hAnsi="Times New Roman"/>
          <w:i/>
          <w:color w:val="000000" w:themeColor="text1"/>
        </w:rPr>
        <w:t>xxxxx</w:t>
      </w:r>
      <w:proofErr w:type="spellEnd"/>
      <w:r w:rsidRPr="007A0145">
        <w:rPr>
          <w:rFonts w:ascii="Times New Roman" w:eastAsia="Georgia" w:hAnsi="Times New Roman"/>
          <w:i/>
          <w:color w:val="000000" w:themeColor="text1"/>
        </w:rPr>
        <w:t xml:space="preserve">, a titolo di interessi e quantificate in € 22.657,46 ovvero a quella diversa somma che dovesse essere accertata in corso di causa, per tutto quanto ampiamente esposto in atti”. </w:t>
      </w:r>
      <w:r w:rsidRPr="007A0145">
        <w:rPr>
          <w:rFonts w:ascii="Times New Roman" w:eastAsia="Georgia" w:hAnsi="Times New Roman"/>
          <w:color w:val="000000" w:themeColor="text1"/>
        </w:rPr>
        <w:t>Il tutto con vittoria di spese di lite.</w:t>
      </w:r>
    </w:p>
    <w:p w14:paraId="0E8E1AE2"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In via istruttoria, l’attore ha chiesto disporsi Consulenza Tecnica d’Ufficio volta a determinare il valore della porzione immobiliare facente parte del corpo di fabbrica “B” nel complesso edilizio di nuova costruzione denominato (omissis), avente accesso sia dalla (omissis) e sia dalla via (omissis) all’epoca della concessione in garanzia del mutuo sottoscritto in data 19 aprile 2005. </w:t>
      </w:r>
    </w:p>
    <w:p w14:paraId="7CAA0778"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Con comparsa di costituzione e risposta contenente domanda riconvenzionale depositata il 9/9/2019, si è costituita in giudizio </w:t>
      </w:r>
      <w:r w:rsidRPr="007A0145">
        <w:rPr>
          <w:rFonts w:ascii="Times New Roman" w:eastAsia="Georgia" w:hAnsi="Times New Roman"/>
          <w:b/>
          <w:bCs/>
          <w:color w:val="000000" w:themeColor="text1"/>
        </w:rPr>
        <w:t>BANCA INCORPORANTE</w:t>
      </w:r>
      <w:r w:rsidRPr="007A0145">
        <w:rPr>
          <w:rFonts w:ascii="Times New Roman" w:eastAsia="Georgia" w:hAnsi="Times New Roman"/>
          <w:color w:val="000000" w:themeColor="text1"/>
        </w:rPr>
        <w:t xml:space="preserve">, la quale in via preliminare, ha eccepito la prescrizione quinquennale, ex art. 2948, n. 4, c.c., dei diritti azionati da parte attrice, aventi ad oggetto le pretese di restituzione delle somme versate a titolo di interessi in relazione al contratto di mutuo predetto. In particolare, la banca convenuta ha ritenuto che il </w:t>
      </w:r>
      <w:proofErr w:type="spellStart"/>
      <w:r w:rsidRPr="007A0145">
        <w:rPr>
          <w:rFonts w:ascii="Times New Roman" w:eastAsia="Georgia" w:hAnsi="Times New Roman"/>
          <w:i/>
          <w:iCs/>
          <w:color w:val="000000" w:themeColor="text1"/>
        </w:rPr>
        <w:t>dies</w:t>
      </w:r>
      <w:proofErr w:type="spellEnd"/>
      <w:r w:rsidRPr="007A0145">
        <w:rPr>
          <w:rFonts w:ascii="Times New Roman" w:eastAsia="Georgia" w:hAnsi="Times New Roman"/>
          <w:i/>
          <w:iCs/>
          <w:color w:val="000000" w:themeColor="text1"/>
        </w:rPr>
        <w:t xml:space="preserve"> a quo</w:t>
      </w:r>
      <w:r w:rsidRPr="007A0145">
        <w:rPr>
          <w:rFonts w:ascii="Times New Roman" w:eastAsia="Georgia" w:hAnsi="Times New Roman"/>
          <w:color w:val="000000" w:themeColor="text1"/>
        </w:rPr>
        <w:t xml:space="preserve"> del termine di prescrizione dovesse essere individuato nella data in cui sono state corrisposte dalla parte mutuataria le rate mensili di mutuo, comprensive della quota interessi (in particolare, il contratto fissava l’addebito della rata entro il giorno 19 di ciascun mese, a decorrere dal 19.5.2005 ed il mutuo è stato estinto in data 17/10/2008). </w:t>
      </w:r>
    </w:p>
    <w:p w14:paraId="21ED8FB7"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In via subordinata, ha eccepito la prescrizione ordinaria decennale, ex art. 2946 c.c., decorrente sempre dalla data di ciascun addebito mensile. </w:t>
      </w:r>
    </w:p>
    <w:p w14:paraId="31AF228B"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lastRenderedPageBreak/>
        <w:t>Nel merito, ha eccepito: a) che controparte alcuna prova ha fornito circa i versamenti ritenuti indebiti; b) che non sussiste la violazione del limite di finanziabilità, sostenendo che tale limite va determinato “</w:t>
      </w:r>
      <w:r w:rsidRPr="007A0145">
        <w:rPr>
          <w:rFonts w:ascii="Times New Roman" w:eastAsia="Georgia" w:hAnsi="Times New Roman"/>
          <w:i/>
          <w:color w:val="000000" w:themeColor="text1"/>
        </w:rPr>
        <w:t>in funzione del valore del bene ipotecato”</w:t>
      </w:r>
      <w:r w:rsidRPr="007A0145">
        <w:rPr>
          <w:rFonts w:ascii="Times New Roman" w:eastAsia="Georgia" w:hAnsi="Times New Roman"/>
          <w:color w:val="000000" w:themeColor="text1"/>
        </w:rPr>
        <w:t xml:space="preserve">, che è stato determinato da un tecnico incaricato dalla Banca nell’importo di € 170.000,00 alla data dell’8/4/2005, e non in funzione del prezzo di acquisto dello stesso bene. Con la conseguenza che l’importo concesso a mutuo dalla Banca, pari ad € 135.000,00, rispetta puntualmente il detto limite di finanziabilità essendo pari l’80% di € 170.000,00 ad € 136.000,00. </w:t>
      </w:r>
    </w:p>
    <w:p w14:paraId="26CCF7C7"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In subordine, la Banca ha eccepito che, sebbene nella giurisprudenza non esista un orientamento univoco circa la sorta del contratto di mutuo fondiario in caso di superamento del limite sancito nella delibera CICR del 22.4.1995, l’orientamento prevalente è comunque volto a considerare l’art. 38, comma 2 del TUB non una norma di validità, bensì una norma di comportamento, la cui violazione è sanzionata con rimedi diversi dalla nullità del contratto. </w:t>
      </w:r>
    </w:p>
    <w:p w14:paraId="204A597F"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Da ultimo, in via riconvenzionale subordinata, la Banca, in ipotesi di accoglimento della domanda di nullità, ha chiesto la conversione del contratto di mutuo fondiario in un ordinario contratto di finanziamento ipotecario. Il tutto con vittoria di spese. </w:t>
      </w:r>
    </w:p>
    <w:p w14:paraId="5F582C8F"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Espletato negativamente il procedimento di mediazione, concessi alle parti i termini ex art. 183, comma 6, c.p.c., ritenuta la superfluità della CTU articolata da parte attrice, il procedimento è stato rinviato per la precisazione delle conclusioni all’udienza del 30/11/2021 tenuta nella forma della trattazione scritta, stante il perdurare dello stato emergenziale derivante dalla diffusione del virus COVID 19 e la causa è stata trattenuta in decisione, con assegnazione dei termini ex art. 190 c.p.c.</w:t>
      </w:r>
    </w:p>
    <w:p w14:paraId="54B25878" w14:textId="77777777" w:rsidR="007A0145" w:rsidRPr="007A0145" w:rsidRDefault="007A0145" w:rsidP="007A0145">
      <w:pPr>
        <w:tabs>
          <w:tab w:val="left" w:pos="360"/>
          <w:tab w:val="left" w:pos="720"/>
        </w:tabs>
        <w:spacing w:after="0" w:line="240" w:lineRule="exact"/>
        <w:jc w:val="both"/>
        <w:textAlignment w:val="baseline"/>
        <w:rPr>
          <w:rFonts w:ascii="Times New Roman" w:eastAsia="Georgia" w:hAnsi="Times New Roman"/>
          <w:b/>
          <w:bCs/>
          <w:i/>
          <w:color w:val="000000" w:themeColor="text1"/>
          <w:u w:val="single"/>
        </w:rPr>
      </w:pPr>
    </w:p>
    <w:p w14:paraId="58F8CA5C" w14:textId="77777777" w:rsidR="007A0145" w:rsidRPr="007A0145" w:rsidRDefault="007A0145" w:rsidP="007A0145">
      <w:pPr>
        <w:numPr>
          <w:ilvl w:val="0"/>
          <w:numId w:val="27"/>
        </w:numPr>
        <w:tabs>
          <w:tab w:val="clear" w:pos="360"/>
          <w:tab w:val="left" w:pos="720"/>
        </w:tabs>
        <w:spacing w:after="0" w:line="240" w:lineRule="exact"/>
        <w:ind w:left="0"/>
        <w:jc w:val="both"/>
        <w:textAlignment w:val="baseline"/>
        <w:rPr>
          <w:rFonts w:ascii="Times New Roman" w:eastAsia="Georgia" w:hAnsi="Times New Roman"/>
          <w:b/>
          <w:bCs/>
          <w:i/>
          <w:color w:val="000000" w:themeColor="text1"/>
          <w:u w:val="single"/>
        </w:rPr>
      </w:pPr>
      <w:r w:rsidRPr="007A0145">
        <w:rPr>
          <w:rFonts w:ascii="Times New Roman" w:eastAsia="Georgia" w:hAnsi="Times New Roman"/>
          <w:b/>
          <w:bCs/>
          <w:i/>
          <w:color w:val="000000" w:themeColor="text1"/>
          <w:u w:val="single"/>
        </w:rPr>
        <w:t>questioni preliminari</w:t>
      </w:r>
    </w:p>
    <w:p w14:paraId="5B78124C"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In via preliminare, si dà atto che la scrivente è subentrata al precedente magistrato titolare del ruolo in data 18.10.2019 come da decreto del Presidente del Tribunale di Santa Maria Capua Vetere, con il quale è stata assegnata al modulo C) terza sezione civile.</w:t>
      </w:r>
    </w:p>
    <w:p w14:paraId="2862D683"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Sempre in via preliminare, si dà atto che la sentenza viene redatta ai sensi degli artt. 132 c.p.c. e 118 disp. att. c.p.c. che, come modificati dalla legge n. 69/2009, consentono una concisa esposizione delle questioni di fatto rilevanti e delle ragioni giuridiche della decisione.</w:t>
      </w:r>
    </w:p>
    <w:p w14:paraId="72CC1E74" w14:textId="77777777" w:rsidR="007A0145" w:rsidRPr="007A0145" w:rsidRDefault="007A0145" w:rsidP="007A0145">
      <w:pPr>
        <w:numPr>
          <w:ilvl w:val="0"/>
          <w:numId w:val="27"/>
        </w:numPr>
        <w:tabs>
          <w:tab w:val="clear" w:pos="360"/>
          <w:tab w:val="left" w:pos="720"/>
        </w:tabs>
        <w:spacing w:after="0" w:line="240" w:lineRule="exact"/>
        <w:ind w:left="0"/>
        <w:jc w:val="both"/>
        <w:textAlignment w:val="baseline"/>
        <w:rPr>
          <w:rFonts w:ascii="Times New Roman" w:eastAsia="Georgia" w:hAnsi="Times New Roman"/>
          <w:b/>
          <w:bCs/>
          <w:i/>
          <w:color w:val="000000" w:themeColor="text1"/>
          <w:u w:val="single"/>
        </w:rPr>
      </w:pPr>
      <w:r w:rsidRPr="007A0145">
        <w:rPr>
          <w:rFonts w:ascii="Times New Roman" w:eastAsia="Georgia" w:hAnsi="Times New Roman"/>
          <w:b/>
          <w:bCs/>
          <w:i/>
          <w:color w:val="000000" w:themeColor="text1"/>
          <w:u w:val="single"/>
        </w:rPr>
        <w:t xml:space="preserve">Sul merito </w:t>
      </w:r>
    </w:p>
    <w:p w14:paraId="1BB93131"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Nel merito, la domanda è infondata e merita pertanto di essere rigettata per le causali di cui in motivazione.</w:t>
      </w:r>
    </w:p>
    <w:p w14:paraId="2AA0F1C1"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La decisione della presente controversia non può prescindere dall’inquadramento della questione afferente </w:t>
      </w:r>
      <w:proofErr w:type="gramStart"/>
      <w:r w:rsidRPr="007A0145">
        <w:rPr>
          <w:rFonts w:ascii="Times New Roman" w:eastAsia="Georgia" w:hAnsi="Times New Roman"/>
          <w:color w:val="000000" w:themeColor="text1"/>
        </w:rPr>
        <w:t>la</w:t>
      </w:r>
      <w:proofErr w:type="gramEnd"/>
      <w:r w:rsidRPr="007A0145">
        <w:rPr>
          <w:rFonts w:ascii="Times New Roman" w:eastAsia="Georgia" w:hAnsi="Times New Roman"/>
          <w:color w:val="000000" w:themeColor="text1"/>
        </w:rPr>
        <w:t xml:space="preserve"> nullità o meno del mutuo fondiario per superamento del limite di finanziabilità nel panorama giurisprudenziale.</w:t>
      </w:r>
    </w:p>
    <w:p w14:paraId="7B67417E"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Il credito fondiario ha per oggetto la concessione, da parte di banche, di finanziamenti a medio e lungo termine garantiti da ipoteca di primo grado su immobili come disciplinata dall’art. 38 d.lgs. n. 385 del 1993, che al comma 2 demanda alla Banca d'Italia, in conformità alle deliberazioni del CICR, la definizione delle modalità di determinazione degli importi massimi finanziabili nell'ambito di un'operazione di credito fondiario, da individuare in rapporto al “valore” dei beni ipotecati o al “costo” delle opere da eseguire sugli stessi. </w:t>
      </w:r>
    </w:p>
    <w:p w14:paraId="43486A72"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Con deliberazione 22 aprile 1995 del CICR e le conseguenti Istruzioni applicative della Banca d'Italia, l'ammontare massimo dei finanziamenti fondiari è stato fissato nell'80% del valore dei beni ipotecati o del costo delle opere da eseguire sugli stessi, ivi compreso il costo dell'area o dell'immobile da ristrutturare.</w:t>
      </w:r>
    </w:p>
    <w:p w14:paraId="4C287200"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La questione affrontata dalla giurisprudenza, allora, è se la menzionata delibera del CICR costituisca applicazione diretta dell'art. 38 del TUB o se invece la stessa costituisca primaria applicazione dell'art. 117, comma 8 TUB a norma del quale: "</w:t>
      </w:r>
      <w:r w:rsidRPr="007A0145">
        <w:rPr>
          <w:rFonts w:ascii="Times New Roman" w:eastAsia="Georgia" w:hAnsi="Times New Roman"/>
          <w:i/>
          <w:color w:val="000000" w:themeColor="text1"/>
        </w:rPr>
        <w:t>La Banca d'Italia può prescrivere che determinati contratti o titoli, individuati attraverso una particolare denominazione o sulla base di specifici criteri qualificativi, abbiano un contenuto tipico determinato. I contratti e i titoli difformi sono nulli. Resta ferma la responsabilità della banca o dell'intermediario finanziario per la violazione delle prescrizioni della Banca d'Italia</w:t>
      </w:r>
      <w:r w:rsidRPr="007A0145">
        <w:rPr>
          <w:rFonts w:ascii="Times New Roman" w:eastAsia="Georgia" w:hAnsi="Times New Roman"/>
          <w:color w:val="000000" w:themeColor="text1"/>
        </w:rPr>
        <w:t>".</w:t>
      </w:r>
    </w:p>
    <w:p w14:paraId="46AA5AFE"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Occorre, in sintesi, stabilire se la previsione del limite di finanziabilità prevista dall'art. 38 T.U.B. sia una fattispecie sussumibile nell’ambito applicativo dell’art. 117 comma 8 TUB, oppure se integri una autonoma previsione alla quale, come tale, le disposizioni del testo unico bancario articolo non risultano applicabili.</w:t>
      </w:r>
    </w:p>
    <w:p w14:paraId="107198D2"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lastRenderedPageBreak/>
        <w:t>La questione non è solo teorica, perché ove si accedesse alla prima tesi, dovrebbe ritenersi che la violazione del limite di finanziabilità di cui all’art. 38 TUB rientrerebbe tra quelle ipotesi di nullità relative contemplate dall’art. 117 TUB che possono essere fatte valere soltanto dal cliente.</w:t>
      </w:r>
    </w:p>
    <w:p w14:paraId="71005BE5"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Diversamente, il primo e più risalente orientamento affermatosi in giurisprudenza ha ritenuto l’art. 38, co. 2 TUB e le relative disposizioni di attuazione non costituiscono norme inderogabili sulla validità del contratto, ma appaiono norme di buona condotta, la cui violazione determina l’irrogazione delle sanzioni previste dall’ordinamento bancario, senza ingenerare una causa di nullità, totale o parziale, del contratto. In particolare, secondo l’indirizzo inaugurato dalla Suprema Corte di Cassazione con la sentenza n. 26672/2013 il rispetto del limite del finanziamento disposto dall’art. 38 TUB non costituisce un elemento rilevabile dal contratto in quanto il relativo accertamento può avvenire solo tramite valutazioni estimatorie dell'immobile oggetto di finanziamento suscettibili di opinabilità e soggette a margini di incertezza valutativa e come tali non rilevabili dal testo del contratto. </w:t>
      </w:r>
    </w:p>
    <w:p w14:paraId="35D25575"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Precisa, sul punto la Suprema Corte che </w:t>
      </w:r>
      <w:r w:rsidRPr="007A0145">
        <w:rPr>
          <w:rFonts w:ascii="Times New Roman" w:eastAsia="Georgia" w:hAnsi="Times New Roman"/>
          <w:i/>
          <w:color w:val="000000" w:themeColor="text1"/>
        </w:rPr>
        <w:t>la Banca d'Italia, nel determinare il limite di finanziamento, non ha prescritto che nel contratto venissero indicati degli elementi di riferimento quali il valore dell'immobile o il costo delle opere, il che fa ulteriormente escludere che la previsione della circolare del 1995 abbia introdotto una clausola determinativa del contenuto del contratto</w:t>
      </w:r>
      <w:r w:rsidRPr="007A0145">
        <w:rPr>
          <w:rFonts w:ascii="Times New Roman" w:eastAsia="Georgia" w:hAnsi="Times New Roman"/>
          <w:color w:val="000000" w:themeColor="text1"/>
        </w:rPr>
        <w:t xml:space="preserve">. </w:t>
      </w:r>
    </w:p>
    <w:p w14:paraId="61252751"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Ne deriva che la ratio dell’art. 38 del d. lgs n. 385/1993 non è quella di tutelare il contraente debole (che ha tutto l’interesse ad ottenere il finanziamento anche oltre il limite di finanziabilità) ma è posto a tutela degli istituti bancari n quanto è volta ad impedire che le banche assumano esposizioni finanziarie senza adeguate contropartite e garanzie. </w:t>
      </w:r>
    </w:p>
    <w:p w14:paraId="69624902"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Se questa è la ratio sottesa alla norma, richiamando la distinzione tra regola di validità e regola di comportamento (cfr. Cass. SS.UU. n. 26724/2007), la giurisprudenza in esame giunge alla conclusione per la quale </w:t>
      </w:r>
      <w:r w:rsidRPr="007A0145">
        <w:rPr>
          <w:rFonts w:ascii="Times New Roman" w:eastAsia="Georgia" w:hAnsi="Times New Roman"/>
          <w:i/>
          <w:color w:val="000000" w:themeColor="text1"/>
        </w:rPr>
        <w:t>il limite di finanziamento dei mutui fondiari come norma volta ad impedire che le banche si espongano oltre un limite di ragionevolezza a finanziamenti a favore di terzi che, se non adeguatamente garantiti, potrebbero portare a possibili perdite di esercizio non incide però sul sinallagma contrattuale ma investe esclusivamente il comportamento della Banca tenuta ad attenersi al limite prudenziale stabilito dall'art. 38, comma 2, del TUB e dalla circolare del Cicr del 1995.</w:t>
      </w:r>
    </w:p>
    <w:p w14:paraId="7A97B1DB"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In sostanza la disposizione in esame non è volta ad inficiare norme inderogabili sulla validità del contratto ma appare una regola di buona condotta la cui violazione potrà comportare l'irrogazione delle sanzioni previste dall'ordinamento bancario, qualora ne venga accertata la violazione a seguito dei controlli che competono alla Banca d'Italia, nonché eventuale responsabilità, senza ingenerare una causa di nullità, parziale o meno, del contratto di mutuo.</w:t>
      </w:r>
    </w:p>
    <w:p w14:paraId="288F207C"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A tale indirizzo interpretativo si è contrapposto altro e più recente orientamento, secondo il quale la violazione del limite di finanziabilità, in quanto elemento essenziale del contratto, ne comporta l’intera nullità, salva la conversione in presenza dei relativi presupposti, in un “ordinario” contratto di finanziamento ipotecario ai sensi dell’art. 1424 </w:t>
      </w:r>
      <w:proofErr w:type="gramStart"/>
      <w:r w:rsidRPr="007A0145">
        <w:rPr>
          <w:rFonts w:ascii="Times New Roman" w:eastAsia="Georgia" w:hAnsi="Times New Roman"/>
          <w:color w:val="000000" w:themeColor="text1"/>
        </w:rPr>
        <w:t>c.c..</w:t>
      </w:r>
      <w:proofErr w:type="gramEnd"/>
    </w:p>
    <w:p w14:paraId="15DE0DB1" w14:textId="77777777" w:rsidR="007A0145" w:rsidRPr="007A0145" w:rsidRDefault="007A0145" w:rsidP="007A0145">
      <w:pPr>
        <w:spacing w:after="0" w:line="240" w:lineRule="exact"/>
        <w:jc w:val="both"/>
        <w:textAlignment w:val="baseline"/>
        <w:rPr>
          <w:rFonts w:ascii="Times New Roman" w:eastAsia="Georgia" w:hAnsi="Times New Roman"/>
          <w:i/>
          <w:color w:val="000000" w:themeColor="text1"/>
        </w:rPr>
      </w:pPr>
      <w:r w:rsidRPr="007A0145">
        <w:rPr>
          <w:rFonts w:ascii="Times New Roman" w:eastAsia="Georgia" w:hAnsi="Times New Roman"/>
          <w:color w:val="000000" w:themeColor="text1"/>
        </w:rPr>
        <w:t xml:space="preserve">Tale orientamento, affermatosi con la pronuncia della Suprema Corte di Cassazione n. 17352/2017, per cui il limite di finanziabilità prescritto dall’art. 38 TUB </w:t>
      </w:r>
      <w:r w:rsidRPr="007A0145">
        <w:rPr>
          <w:rFonts w:ascii="Times New Roman" w:eastAsia="Georgia" w:hAnsi="Times New Roman"/>
          <w:i/>
          <w:color w:val="000000" w:themeColor="text1"/>
        </w:rPr>
        <w:t xml:space="preserve">impone un limite inderogabile all'autonomia privata in ragione della natura pubblica dell'interesse tutelato, volto a regolare il quantum della prestazione creditizia al fine di favorire la mobilizzazione della proprietà immobiliare ed agevolare e sostenere l'attività di impresa". </w:t>
      </w:r>
    </w:p>
    <w:p w14:paraId="02BFEE36"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Ritenuto dunque che la previsione dell’art. 38 TUB non sia riconducibile alla nullità testuale di cui all’art. 117 del testo unico bancario, tale filone giurisprudenziale ha individuato nella nullità virtuale la sanzione da porre a tutela della natura pubblica dell'interesse (economico nazionale) violato.</w:t>
      </w:r>
    </w:p>
    <w:p w14:paraId="182235DB"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Quanto poi all'inquadramento della regola dell'art. 38 nella dicotomia regole di validità e regole di comportamento, è stato evidenziato </w:t>
      </w:r>
      <w:r w:rsidRPr="007A0145">
        <w:rPr>
          <w:rFonts w:ascii="Times New Roman" w:eastAsia="Georgia" w:hAnsi="Times New Roman"/>
          <w:i/>
          <w:color w:val="000000" w:themeColor="text1"/>
        </w:rPr>
        <w:t xml:space="preserve">come la violazione del limite di finanziabilità non è correlabile né all'area delle condotte in fase </w:t>
      </w:r>
      <w:proofErr w:type="spellStart"/>
      <w:r w:rsidRPr="007A0145">
        <w:rPr>
          <w:rFonts w:ascii="Times New Roman" w:eastAsia="Georgia" w:hAnsi="Times New Roman"/>
          <w:i/>
          <w:color w:val="000000" w:themeColor="text1"/>
        </w:rPr>
        <w:t>pre</w:t>
      </w:r>
      <w:proofErr w:type="spellEnd"/>
      <w:r w:rsidRPr="007A0145">
        <w:rPr>
          <w:rFonts w:ascii="Times New Roman" w:eastAsia="Georgia" w:hAnsi="Times New Roman"/>
          <w:i/>
          <w:color w:val="000000" w:themeColor="text1"/>
        </w:rPr>
        <w:t xml:space="preserve">-negoziale, né in quelle della fase attuativa, venendo in rilievo, piuttosto, una criticità concernente un elemento relativo alla struttura negoziale (il contenuto), quale la determinazione del "quantum" della prestazione creditizia, tale da incidere direttamente sulla fattispecie: la conseguenza della nullità sarebbe, dunque, conforme all'insegnamento di Sez. U n. 26724 e n. 26725 del 2007, secondo cui la violazione di una norma imperativa determina la nullità ogni volta che si ripercuote sulla regola negoziale e dunque sia ravvisabile un contrasto tra la norma violata ed il regolamento d'interessi sotteso al negozio </w:t>
      </w:r>
      <w:r w:rsidRPr="007A0145">
        <w:rPr>
          <w:rFonts w:ascii="Times New Roman" w:eastAsia="Georgia" w:hAnsi="Times New Roman"/>
          <w:color w:val="000000" w:themeColor="text1"/>
        </w:rPr>
        <w:t xml:space="preserve">(cfr. Cass. n. 19016/2017; Cass. n. 11201/2018; Cass. n. 1193/2020). </w:t>
      </w:r>
    </w:p>
    <w:p w14:paraId="7378DACA"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lastRenderedPageBreak/>
        <w:t>Infine, si è ritenuto che non sanzionare il superamento del limite di finanziabilità con la nullità del contratto si tradurrebbe "in un'inaccettabile protezione dell'illegalità", finendo, nella materia concorsuale, "</w:t>
      </w:r>
      <w:r w:rsidRPr="007A0145">
        <w:rPr>
          <w:rFonts w:ascii="Times New Roman" w:eastAsia="Georgia" w:hAnsi="Times New Roman"/>
          <w:i/>
          <w:color w:val="000000" w:themeColor="text1"/>
        </w:rPr>
        <w:t>per mantenere intatta una causa di prelazione resa illegittima dalla violazione del precetto normativo</w:t>
      </w:r>
      <w:r w:rsidRPr="007A0145">
        <w:rPr>
          <w:rFonts w:ascii="Times New Roman" w:eastAsia="Georgia" w:hAnsi="Times New Roman"/>
          <w:color w:val="000000" w:themeColor="text1"/>
        </w:rPr>
        <w:t>".</w:t>
      </w:r>
    </w:p>
    <w:p w14:paraId="7E6E6C1E"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In alternativa agli orientamenti espressi dalla giurisprudenza di legittimità si è affacciata nella giurisprudenza di merito una “terza via” secondo la quale a prescindere dal </w:t>
      </w:r>
      <w:proofErr w:type="spellStart"/>
      <w:r w:rsidRPr="007A0145">
        <w:rPr>
          <w:rFonts w:ascii="Times New Roman" w:eastAsia="Georgia" w:hAnsi="Times New Roman"/>
          <w:i/>
          <w:color w:val="000000" w:themeColor="text1"/>
        </w:rPr>
        <w:t>nomen</w:t>
      </w:r>
      <w:proofErr w:type="spellEnd"/>
      <w:r w:rsidRPr="007A0145">
        <w:rPr>
          <w:rFonts w:ascii="Times New Roman" w:eastAsia="Georgia" w:hAnsi="Times New Roman"/>
          <w:i/>
          <w:color w:val="000000" w:themeColor="text1"/>
        </w:rPr>
        <w:t xml:space="preserve"> iuris </w:t>
      </w:r>
      <w:r w:rsidRPr="007A0145">
        <w:rPr>
          <w:rFonts w:ascii="Times New Roman" w:eastAsia="Georgia" w:hAnsi="Times New Roman"/>
          <w:color w:val="000000" w:themeColor="text1"/>
        </w:rPr>
        <w:t xml:space="preserve">utilizzato dalle parti, il mutuo pur qualificato come “fondiario”, ove non rispettoso del limite di finanziabilità, altro non sarebbe che un ordinario mutuo ipotecario. In altri termini, secondo questa impostazione, superato il limite di finanziabilità, non si avrebbe nullità del sinallagma, con conversione in altro tipo di contratto, ma solo la disapplicazione della speciale disciplina del mutuo fondiario, con conservazione della originaria garanzia ipotecaria (cfr. </w:t>
      </w:r>
      <w:proofErr w:type="spellStart"/>
      <w:r w:rsidRPr="007A0145">
        <w:rPr>
          <w:rFonts w:ascii="Times New Roman" w:eastAsia="Georgia" w:hAnsi="Times New Roman"/>
          <w:color w:val="000000" w:themeColor="text1"/>
        </w:rPr>
        <w:t>Trib</w:t>
      </w:r>
      <w:proofErr w:type="spellEnd"/>
      <w:r w:rsidRPr="007A0145">
        <w:rPr>
          <w:rFonts w:ascii="Times New Roman" w:eastAsia="Georgia" w:hAnsi="Times New Roman"/>
          <w:color w:val="000000" w:themeColor="text1"/>
        </w:rPr>
        <w:t>. Santa Maria Capua Vetere, 14.11.2019).</w:t>
      </w:r>
    </w:p>
    <w:p w14:paraId="6D36BB19"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La questione è stata di recente rimessa alle Sezioni Unite della Suprema Corte di Cassazione (cfr. ordinanza n. 4117 del 9.02.2022) che ha osservato come nonostante in diverse pronunce si propenda per la sanzione della nullità occorre rilevare che: a) la prescrizione violata non è costituita da una fonte normativa primaria, quale è certamente l’art. 38 TUB, ma da una fonte subordinata (o, se si vuole, di </w:t>
      </w:r>
      <w:r w:rsidRPr="007A0145">
        <w:rPr>
          <w:rFonts w:ascii="Times New Roman" w:eastAsia="Georgia" w:hAnsi="Times New Roman"/>
          <w:i/>
          <w:color w:val="000000" w:themeColor="text1"/>
        </w:rPr>
        <w:t xml:space="preserve">soft </w:t>
      </w:r>
      <w:proofErr w:type="spellStart"/>
      <w:r w:rsidRPr="007A0145">
        <w:rPr>
          <w:rFonts w:ascii="Times New Roman" w:eastAsia="Georgia" w:hAnsi="Times New Roman"/>
          <w:i/>
          <w:color w:val="000000" w:themeColor="text1"/>
        </w:rPr>
        <w:t>law</w:t>
      </w:r>
      <w:proofErr w:type="spellEnd"/>
      <w:r w:rsidRPr="007A0145">
        <w:rPr>
          <w:rFonts w:ascii="Times New Roman" w:eastAsia="Georgia" w:hAnsi="Times New Roman"/>
          <w:color w:val="000000" w:themeColor="text1"/>
        </w:rPr>
        <w:t xml:space="preserve">), da ravvisarsi nel provvedimento della Banca d’Italia; b) il rispetto del limite del finanziamento non è una circostanza rilevabile dal contratto: in concreto, la verifica del reale valore del cespite può avvenire solamente attraverso valutazioni estimatorie che presentano indubbi margini di opinabilità ed incertezza valutativa, come tali non rilevabili dal testo del contratto ma spesso ricavabili, solo in corso di causa, all’esito dell’espletamento di una consulenza tecnica; c) dalla nullità deriva un vantaggio obiettivamente sproporzionato per il mutuatario che, anche considerando il difficile utilizzo dell’istituto della conversione del contratto nullo, per il sol fatto di aver ricevuto dall’istituto di credito una somma superiore a quella consentita dal c.d. scarto di garanzia, realizzerebbe la completa liberazione dell’immobile dall’ipoteca; con effetti che ben potrebbero definirsi paradossali nel caso di esecuzione individuale promossa dall’istituto di credito mutuante (atteso che la nullità darebbe luogo all’estinzione della procedura per il venir meno del titolo esecutivo, anche in danno degli eventuali creditori intervenuti non muniti di titolo), e che appaiono connotati da anomalie anche nel caso di apertura di una procedura concorsuale, in cui l’interesse dei creditori al rispetto della </w:t>
      </w:r>
      <w:r w:rsidRPr="007A0145">
        <w:rPr>
          <w:rFonts w:ascii="Times New Roman" w:eastAsia="Georgia" w:hAnsi="Times New Roman"/>
          <w:i/>
          <w:color w:val="000000" w:themeColor="text1"/>
        </w:rPr>
        <w:t xml:space="preserve">par condicio </w:t>
      </w:r>
      <w:r w:rsidRPr="007A0145">
        <w:rPr>
          <w:rFonts w:ascii="Times New Roman" w:eastAsia="Georgia" w:hAnsi="Times New Roman"/>
          <w:color w:val="000000" w:themeColor="text1"/>
        </w:rPr>
        <w:t>anziché essere tutelato con lo strumento della revocatoria (ossia con il rimedio tipico previsto per il contratto in danno dei creditori), verrebbe ad essere protetto attraverso una sanzione di nullità dell’intero contratto derivante unicamente dall’illegittima costituzione della garanzia fondiaria. Preso atto, dunque, del dibattito suddetto e delle perplessità manifestate dalla più recente giurisprudenza di legittimità, questo Giudice ritiene che la violazione dell’art. 38 TUB non dia luogo ad una nullità né testuale né virtuale del contratto, ma soltanto si traduca nella violazione di una regola di comportamento da parte dell’istituto bancario, che consente la mera disapplicazione delle speciali norme di favore previste per il creditore fondiario e la conservazione tanto del mutuo quanto della garanzia ipotecaria.</w:t>
      </w:r>
    </w:p>
    <w:p w14:paraId="67B4A631"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Nel caso di specie, la domanda non può che essere respinta.</w:t>
      </w:r>
    </w:p>
    <w:p w14:paraId="1858863C"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Non pare, infatti, che il limite di finanziabilità sia stato superato, posto che lo stesso va verificato non assumendo come parametro il prezzo corrisposto dall’attore, ma il valore cauzionale effettivo dell’immobile, inteso come netto realizzo in asta giudiziaria secondo prudente apprezzamento della futura negoziabilità, tenuto conto degli aspetti durevoli a lungo termine e delle condizioni di mercato, dell’uso corrente e dei suoi appropriati usi alternativi, senza riferimento né al valore di mercato in un determinato momento né a considerazioni speculative. </w:t>
      </w:r>
    </w:p>
    <w:p w14:paraId="17227CDF"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Anche la Corte di Cassazione ha affermato a chiare lettere che “</w:t>
      </w:r>
      <w:r w:rsidRPr="007A0145">
        <w:rPr>
          <w:rFonts w:ascii="Times New Roman" w:eastAsia="Georgia" w:hAnsi="Times New Roman"/>
          <w:i/>
          <w:color w:val="000000" w:themeColor="text1"/>
        </w:rPr>
        <w:t>ai fini dell’apprezzamento circa il rispetto del limite di finanziabilità prescritto per il mutuo fondiario dalla normativa legale e regolamentare, il giudice deve tenere in considerazione il c.d. valore cauzionale del bene ipotecato, vale a dire la concreta e attuale prospettiva di negoziabilità dell’immobile, del tutto svincolata da considerazioni di carattere speculativo, sì che, se non è possibile fare riferimento a un valore di liquidazione, tra le diverse stime possibili deve privilegiarsi quella di tipo prudenziale”</w:t>
      </w:r>
      <w:r w:rsidRPr="007A0145">
        <w:rPr>
          <w:rFonts w:ascii="Times New Roman" w:eastAsia="Georgia" w:hAnsi="Times New Roman"/>
          <w:color w:val="000000" w:themeColor="text1"/>
        </w:rPr>
        <w:t xml:space="preserve">(cfr. Cass. n. 11201/2018). </w:t>
      </w:r>
    </w:p>
    <w:p w14:paraId="211D3F05"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Orbene, nella fattispecie in esame, tale valore è stato determinato da un tecnico incaricato dalla Banca nell’importo di € 170.000,00, con la conseguenza che l’importo concesso a mutuo dalla Banca, pari ad €135.000,00, rispetta evidentemente il </w:t>
      </w:r>
      <w:proofErr w:type="gramStart"/>
      <w:r w:rsidRPr="007A0145">
        <w:rPr>
          <w:rFonts w:ascii="Times New Roman" w:eastAsia="Georgia" w:hAnsi="Times New Roman"/>
          <w:color w:val="000000" w:themeColor="text1"/>
        </w:rPr>
        <w:t>predetto</w:t>
      </w:r>
      <w:proofErr w:type="gramEnd"/>
      <w:r w:rsidRPr="007A0145">
        <w:rPr>
          <w:rFonts w:ascii="Times New Roman" w:eastAsia="Georgia" w:hAnsi="Times New Roman"/>
          <w:color w:val="000000" w:themeColor="text1"/>
        </w:rPr>
        <w:t xml:space="preserve"> limite di finanziabilità.</w:t>
      </w:r>
    </w:p>
    <w:p w14:paraId="7A076BA5"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lastRenderedPageBreak/>
        <w:t>Il rigetto della domanda principale comporta l’assorbimento della domanda riconvenzionale proposta dalla banca convenuta.</w:t>
      </w:r>
    </w:p>
    <w:p w14:paraId="09B98810" w14:textId="77777777" w:rsidR="007A0145" w:rsidRPr="007A0145" w:rsidRDefault="007A0145" w:rsidP="007A0145">
      <w:pPr>
        <w:spacing w:after="0" w:line="240" w:lineRule="exact"/>
        <w:jc w:val="both"/>
        <w:textAlignment w:val="baseline"/>
        <w:rPr>
          <w:rFonts w:ascii="Times New Roman" w:eastAsia="Georgia" w:hAnsi="Times New Roman"/>
          <w:b/>
          <w:bCs/>
          <w:i/>
          <w:color w:val="000000" w:themeColor="text1"/>
          <w:u w:val="single"/>
        </w:rPr>
      </w:pPr>
    </w:p>
    <w:p w14:paraId="2DA58FAD" w14:textId="77777777" w:rsidR="007A0145" w:rsidRPr="007A0145" w:rsidRDefault="007A0145" w:rsidP="007A0145">
      <w:pPr>
        <w:spacing w:after="0" w:line="240" w:lineRule="exact"/>
        <w:jc w:val="both"/>
        <w:textAlignment w:val="baseline"/>
        <w:rPr>
          <w:rFonts w:ascii="Times New Roman" w:eastAsia="Georgia" w:hAnsi="Times New Roman"/>
          <w:b/>
          <w:bCs/>
          <w:i/>
          <w:color w:val="000000" w:themeColor="text1"/>
          <w:u w:val="single"/>
        </w:rPr>
      </w:pPr>
      <w:r w:rsidRPr="007A0145">
        <w:rPr>
          <w:rFonts w:ascii="Times New Roman" w:eastAsia="Georgia" w:hAnsi="Times New Roman"/>
          <w:b/>
          <w:bCs/>
          <w:i/>
          <w:color w:val="000000" w:themeColor="text1"/>
          <w:u w:val="single"/>
        </w:rPr>
        <w:t xml:space="preserve">3. Sulle spese di lite. </w:t>
      </w:r>
    </w:p>
    <w:p w14:paraId="4385ACB9"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In applicazione del principio di causalità, le spese seguono la soccombenza e si liquidano come da dispositivo, facendo applicazione dei valori medi di cui al D.M. n. 55/2014 come aggiornati al D.M. n. 37/2018, con decurtazione del 50% della fase istruttoria non espletata a seguito del deposito delle memorie ex art. 183 c. 6 c.p.c.</w:t>
      </w:r>
    </w:p>
    <w:p w14:paraId="7A401CFB" w14:textId="77777777" w:rsidR="007A0145" w:rsidRPr="007A0145" w:rsidRDefault="007A0145" w:rsidP="007A0145">
      <w:pPr>
        <w:spacing w:after="0" w:line="240" w:lineRule="exact"/>
        <w:jc w:val="center"/>
        <w:textAlignment w:val="baseline"/>
        <w:rPr>
          <w:rFonts w:ascii="Times New Roman" w:eastAsia="Bookman Old Style" w:hAnsi="Times New Roman"/>
          <w:b/>
          <w:color w:val="000000" w:themeColor="text1"/>
        </w:rPr>
      </w:pPr>
      <w:r w:rsidRPr="007A0145">
        <w:rPr>
          <w:rFonts w:ascii="Times New Roman" w:eastAsia="Bookman Old Style" w:hAnsi="Times New Roman"/>
          <w:b/>
          <w:color w:val="000000" w:themeColor="text1"/>
        </w:rPr>
        <w:t>P.Q.M.</w:t>
      </w:r>
    </w:p>
    <w:p w14:paraId="08A4B8FB"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Il Tribunale di Santa Maria Capua Vetere, in persona del Giudice Dott.ssa Marta Sodano, definitivamente pronunciando nella causa civile iscritta al R.G.A.C. n. </w:t>
      </w:r>
      <w:proofErr w:type="spellStart"/>
      <w:r w:rsidRPr="007A0145">
        <w:rPr>
          <w:rFonts w:ascii="Times New Roman" w:eastAsia="Verdana" w:hAnsi="Times New Roman"/>
          <w:b/>
          <w:color w:val="000000" w:themeColor="text1"/>
        </w:rPr>
        <w:t>xxxx</w:t>
      </w:r>
      <w:proofErr w:type="spellEnd"/>
      <w:r w:rsidRPr="007A0145">
        <w:rPr>
          <w:rFonts w:ascii="Times New Roman" w:eastAsia="Verdana" w:hAnsi="Times New Roman"/>
          <w:b/>
          <w:color w:val="000000" w:themeColor="text1"/>
        </w:rPr>
        <w:t xml:space="preserve">/2019 </w:t>
      </w:r>
      <w:r w:rsidRPr="007A0145">
        <w:rPr>
          <w:rFonts w:ascii="Times New Roman" w:eastAsia="Georgia" w:hAnsi="Times New Roman"/>
          <w:color w:val="000000" w:themeColor="text1"/>
        </w:rPr>
        <w:t xml:space="preserve">avente ad oggetto contratto di mutuo fondiario pendente tra </w:t>
      </w:r>
      <w:r w:rsidRPr="007A0145">
        <w:rPr>
          <w:rFonts w:ascii="Times New Roman" w:eastAsia="Georgia" w:hAnsi="Times New Roman"/>
          <w:b/>
          <w:bCs/>
          <w:color w:val="000000" w:themeColor="text1"/>
        </w:rPr>
        <w:t>MUTUATARIO</w:t>
      </w:r>
      <w:r w:rsidRPr="007A0145">
        <w:rPr>
          <w:rFonts w:ascii="Times New Roman" w:eastAsia="Georgia" w:hAnsi="Times New Roman"/>
          <w:color w:val="000000" w:themeColor="text1"/>
        </w:rPr>
        <w:t xml:space="preserve">- parte attrice- e </w:t>
      </w:r>
      <w:r w:rsidRPr="007A0145">
        <w:rPr>
          <w:rFonts w:ascii="Times New Roman" w:eastAsia="Georgia" w:hAnsi="Times New Roman"/>
          <w:b/>
          <w:bCs/>
          <w:color w:val="000000" w:themeColor="text1"/>
        </w:rPr>
        <w:t>BANCA INCORPORANTE</w:t>
      </w:r>
      <w:r w:rsidRPr="007A0145">
        <w:rPr>
          <w:rFonts w:ascii="Times New Roman" w:eastAsia="Georgia" w:hAnsi="Times New Roman"/>
          <w:color w:val="000000" w:themeColor="text1"/>
        </w:rPr>
        <w:t xml:space="preserve"> in persona del legale rappresentante p.t. - parte convenuta- ogni contraria istanza disattesa, così provvede:</w:t>
      </w:r>
    </w:p>
    <w:p w14:paraId="325928F6"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Rigetta la domanda principale per le causali di cui in motivazione;</w:t>
      </w:r>
    </w:p>
    <w:p w14:paraId="21852C8D"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Dichiara assorbita la domanda riconvenzionale;</w:t>
      </w:r>
    </w:p>
    <w:p w14:paraId="0D0AE622"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 xml:space="preserve">Condanna l’attore </w:t>
      </w:r>
      <w:r w:rsidRPr="007A0145">
        <w:rPr>
          <w:rFonts w:ascii="Times New Roman" w:eastAsia="Georgia" w:hAnsi="Times New Roman"/>
          <w:b/>
          <w:bCs/>
          <w:color w:val="000000" w:themeColor="text1"/>
        </w:rPr>
        <w:t>MUTUATARIO</w:t>
      </w:r>
      <w:r w:rsidRPr="007A0145">
        <w:rPr>
          <w:rFonts w:ascii="Times New Roman" w:eastAsia="Georgia" w:hAnsi="Times New Roman"/>
          <w:color w:val="000000" w:themeColor="text1"/>
        </w:rPr>
        <w:t xml:space="preserve"> al pagamento, in favore della convenuta </w:t>
      </w:r>
      <w:r w:rsidRPr="007A0145">
        <w:rPr>
          <w:rFonts w:ascii="Times New Roman" w:eastAsia="Georgia" w:hAnsi="Times New Roman"/>
          <w:b/>
          <w:bCs/>
          <w:color w:val="000000" w:themeColor="text1"/>
        </w:rPr>
        <w:t>BANCA INCORPORANTE,</w:t>
      </w:r>
      <w:r w:rsidRPr="007A0145">
        <w:rPr>
          <w:rFonts w:ascii="Times New Roman" w:eastAsia="Georgia" w:hAnsi="Times New Roman"/>
          <w:color w:val="000000" w:themeColor="text1"/>
        </w:rPr>
        <w:t xml:space="preserve"> in persona del legale rappresentante p.t., delle spese di lite, che si liquidano, ex D.M. n. 55/2014 come aggiornato dal D.M. n. 37/2018, in complessivi € 4.035,00 per compenso professionale (di cui € 875,00 per la fase di studio, € 740,00 per la fase introduttiva, € 800,00 per la trattazione, € 1.620,00 per la fase decisoria), oltre il 15% rimborso spese generali, IVA e C.P.A. se dovute come per legge.</w:t>
      </w:r>
    </w:p>
    <w:p w14:paraId="762B4FB6"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p>
    <w:p w14:paraId="769DDD25" w14:textId="77777777" w:rsidR="007A0145" w:rsidRPr="007A0145" w:rsidRDefault="007A0145" w:rsidP="007A0145">
      <w:pPr>
        <w:spacing w:after="0" w:line="240" w:lineRule="exact"/>
        <w:jc w:val="both"/>
        <w:textAlignment w:val="baseline"/>
        <w:rPr>
          <w:rFonts w:ascii="Times New Roman" w:eastAsia="Georgia" w:hAnsi="Times New Roman"/>
          <w:color w:val="000000" w:themeColor="text1"/>
        </w:rPr>
      </w:pPr>
      <w:r w:rsidRPr="007A0145">
        <w:rPr>
          <w:rFonts w:ascii="Times New Roman" w:eastAsia="Georgia" w:hAnsi="Times New Roman"/>
          <w:color w:val="000000" w:themeColor="text1"/>
        </w:rPr>
        <w:t>Così deciso in Santa Maria Capua Vetere, 2.04. 2022</w:t>
      </w:r>
    </w:p>
    <w:p w14:paraId="2139C12A" w14:textId="77777777" w:rsidR="007A0145" w:rsidRPr="007A0145" w:rsidRDefault="007A0145" w:rsidP="007A0145">
      <w:pPr>
        <w:spacing w:after="0" w:line="240" w:lineRule="exact"/>
        <w:jc w:val="right"/>
        <w:textAlignment w:val="baseline"/>
        <w:rPr>
          <w:rFonts w:ascii="Times New Roman" w:eastAsia="Georgia" w:hAnsi="Times New Roman"/>
          <w:b/>
          <w:bCs/>
          <w:color w:val="000000" w:themeColor="text1"/>
        </w:rPr>
      </w:pPr>
      <w:r w:rsidRPr="007A0145">
        <w:rPr>
          <w:rFonts w:ascii="Times New Roman" w:eastAsia="Georgia" w:hAnsi="Times New Roman"/>
          <w:b/>
          <w:bCs/>
          <w:color w:val="000000" w:themeColor="text1"/>
        </w:rPr>
        <w:t>Il Giudice</w:t>
      </w:r>
    </w:p>
    <w:p w14:paraId="3FB43150" w14:textId="77777777" w:rsidR="007A0145" w:rsidRPr="007A0145" w:rsidRDefault="007A0145" w:rsidP="007A0145">
      <w:pPr>
        <w:spacing w:after="0" w:line="240" w:lineRule="exact"/>
        <w:jc w:val="right"/>
        <w:textAlignment w:val="baseline"/>
        <w:rPr>
          <w:rFonts w:ascii="Times New Roman" w:eastAsia="Times New Roman" w:hAnsi="Times New Roman"/>
          <w:color w:val="000000" w:themeColor="text1"/>
        </w:rPr>
      </w:pPr>
      <w:r w:rsidRPr="007A0145">
        <w:rPr>
          <w:rFonts w:ascii="Times New Roman" w:eastAsia="Georgia" w:hAnsi="Times New Roman"/>
          <w:color w:val="000000" w:themeColor="text1"/>
        </w:rPr>
        <w:t>Marta Sodano</w:t>
      </w:r>
    </w:p>
    <w:p w14:paraId="0D64D1F9" w14:textId="77777777" w:rsidR="00203D19" w:rsidRDefault="00203D19" w:rsidP="00203D19">
      <w:pPr>
        <w:widowControl w:val="0"/>
        <w:kinsoku w:val="0"/>
        <w:overflowPunct w:val="0"/>
        <w:spacing w:after="0" w:line="240" w:lineRule="exact"/>
        <w:contextualSpacing/>
        <w:mirrorIndents/>
        <w:jc w:val="center"/>
        <w:textAlignment w:val="baseline"/>
        <w:rPr>
          <w:rFonts w:ascii="Times New Roman" w:eastAsiaTheme="minorEastAsia" w:hAnsi="Times New Roman"/>
          <w:b/>
          <w:bCs/>
          <w:spacing w:val="2"/>
          <w:lang w:eastAsia="it-IT"/>
        </w:rPr>
      </w:pPr>
    </w:p>
    <w:p w14:paraId="6F200396" w14:textId="77777777" w:rsidR="004640E3" w:rsidRPr="005C43B5" w:rsidRDefault="004640E3" w:rsidP="005C43B5">
      <w:pPr>
        <w:widowControl w:val="0"/>
        <w:kinsoku w:val="0"/>
        <w:overflowPunct w:val="0"/>
        <w:spacing w:after="0" w:line="240" w:lineRule="exact"/>
        <w:jc w:val="both"/>
        <w:textAlignment w:val="baseline"/>
        <w:rPr>
          <w:rFonts w:ascii="Times New Roman" w:eastAsia="Times New Roman" w:hAnsi="Times New Roman"/>
          <w:b/>
          <w:bCs/>
          <w:lang w:eastAsia="it-IT"/>
        </w:rPr>
      </w:pPr>
    </w:p>
    <w:p w14:paraId="3A3686AE" w14:textId="77777777" w:rsidR="00E141BA" w:rsidRPr="005C43B5" w:rsidRDefault="00E141BA" w:rsidP="005C43B5">
      <w:pPr>
        <w:spacing w:after="0" w:line="240" w:lineRule="exact"/>
        <w:jc w:val="center"/>
        <w:rPr>
          <w:rFonts w:ascii="Times New Roman" w:hAnsi="Times New Roman"/>
          <w:b/>
          <w:i/>
          <w:u w:val="single"/>
        </w:rPr>
      </w:pPr>
      <w:r w:rsidRPr="005C43B5">
        <w:rPr>
          <w:rFonts w:ascii="Times New Roman" w:hAnsi="Times New Roman"/>
          <w:b/>
          <w:i/>
        </w:rPr>
        <w:t>*Il presente provvedimento è stato modificato nell’aspetto grafico, con l’eliminazione di qualsivoglia riferimento a dati personali, nel rispetto della normativa sulla Privacy</w:t>
      </w:r>
    </w:p>
    <w:sectPr w:rsidR="00E141BA" w:rsidRPr="005C43B5" w:rsidSect="00F263AE">
      <w:headerReference w:type="even" r:id="rId8"/>
      <w:headerReference w:type="default" r:id="rId9"/>
      <w:footerReference w:type="even" r:id="rId10"/>
      <w:footerReference w:type="default" r:id="rId11"/>
      <w:headerReference w:type="first" r:id="rId12"/>
      <w:footerReference w:type="first" r:id="rId13"/>
      <w:pgSz w:w="11906" w:h="16838"/>
      <w:pgMar w:top="550" w:right="141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4146" w14:textId="77777777" w:rsidR="00534256" w:rsidRDefault="00534256">
      <w:pPr>
        <w:spacing w:after="0" w:line="240" w:lineRule="auto"/>
      </w:pPr>
      <w:r>
        <w:separator/>
      </w:r>
    </w:p>
  </w:endnote>
  <w:endnote w:type="continuationSeparator" w:id="0">
    <w:p w14:paraId="07FAD6FA" w14:textId="77777777" w:rsidR="00534256" w:rsidRDefault="0053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52FF" w14:textId="77777777" w:rsidR="005C43B5" w:rsidRDefault="005C43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050" w14:textId="65AA11C8"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Rivista di informazione giuridica, registrata al Tribunale di Napoli al numero 12 del 05/03/2012</w:t>
    </w:r>
  </w:p>
  <w:p w14:paraId="0A956D80" w14:textId="77777777" w:rsidR="002C0586" w:rsidRPr="002C0586" w:rsidRDefault="001A2208" w:rsidP="002C0586">
    <w:pPr>
      <w:tabs>
        <w:tab w:val="center" w:pos="4819"/>
        <w:tab w:val="right" w:pos="9638"/>
      </w:tabs>
      <w:spacing w:after="0" w:line="240" w:lineRule="auto"/>
      <w:jc w:val="center"/>
      <w:rPr>
        <w:rFonts w:ascii="Calibri Light" w:hAnsi="Calibri Light" w:cs="Calibri Light"/>
        <w:i/>
        <w:sz w:val="16"/>
        <w:szCs w:val="16"/>
      </w:rPr>
    </w:pPr>
    <w:r>
      <w:rPr>
        <w:rFonts w:ascii="Calibri Light" w:hAnsi="Calibri Light" w:cs="Calibri Light"/>
        <w:i/>
        <w:sz w:val="16"/>
        <w:szCs w:val="16"/>
      </w:rPr>
      <w:t>R</w:t>
    </w:r>
    <w:r w:rsidR="002C0586" w:rsidRPr="002C0586">
      <w:rPr>
        <w:rFonts w:ascii="Calibri Light" w:hAnsi="Calibri Light" w:cs="Calibri Light"/>
        <w:i/>
        <w:sz w:val="16"/>
        <w:szCs w:val="16"/>
      </w:rPr>
      <w:t>egistro affari amministrativi numero 8231/11</w:t>
    </w:r>
  </w:p>
  <w:p w14:paraId="21967236" w14:textId="77777777"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Direttore Responsabile Avv. Antonio De Simone – Direttore Scientifico Avv. Walter Giacomo Caturano</w:t>
    </w:r>
  </w:p>
  <w:p w14:paraId="23A849A0" w14:textId="77777777" w:rsidR="006E38FD" w:rsidRPr="002C0586" w:rsidRDefault="002C0586" w:rsidP="002C0586">
    <w:pPr>
      <w:tabs>
        <w:tab w:val="center" w:pos="4819"/>
        <w:tab w:val="right" w:pos="9638"/>
      </w:tabs>
      <w:spacing w:after="0" w:line="240" w:lineRule="auto"/>
      <w:jc w:val="center"/>
      <w:rPr>
        <w:rFonts w:ascii="Calibri Light" w:hAnsi="Calibri Light" w:cs="Calibri Light"/>
      </w:rPr>
    </w:pPr>
    <w:r w:rsidRPr="002C0586">
      <w:rPr>
        <w:rFonts w:ascii="Calibri Light" w:hAnsi="Calibri Light" w:cs="Calibri Light"/>
        <w:i/>
        <w:sz w:val="16"/>
        <w:szCs w:val="16"/>
      </w:rPr>
      <w:t xml:space="preserve"> Copyright © 2012 - Ex Parte </w:t>
    </w:r>
    <w:proofErr w:type="spellStart"/>
    <w:r w:rsidRPr="002C0586">
      <w:rPr>
        <w:rFonts w:ascii="Calibri Light" w:hAnsi="Calibri Light" w:cs="Calibri Light"/>
        <w:i/>
        <w:sz w:val="16"/>
        <w:szCs w:val="16"/>
      </w:rPr>
      <w:t>Creditoris</w:t>
    </w:r>
    <w:proofErr w:type="spellEnd"/>
    <w:r w:rsidRPr="002C0586">
      <w:rPr>
        <w:rFonts w:ascii="Calibri Light" w:hAnsi="Calibri Light" w:cs="Calibri Light"/>
        <w:i/>
        <w:sz w:val="16"/>
        <w:szCs w:val="16"/>
      </w:rPr>
      <w:t xml:space="preserve"> - ISSN 2385-1376</w:t>
    </w:r>
  </w:p>
  <w:tbl>
    <w:tblPr>
      <w:tblW w:w="0" w:type="auto"/>
      <w:tblLayout w:type="fixed"/>
      <w:tblLook w:val="04A0" w:firstRow="1" w:lastRow="0" w:firstColumn="1" w:lastColumn="0" w:noHBand="0" w:noVBand="1"/>
    </w:tblPr>
    <w:tblGrid>
      <w:gridCol w:w="554"/>
    </w:tblGrid>
    <w:tr w:rsidR="006E38FD" w:rsidRPr="00221CDC" w14:paraId="205E4AC3" w14:textId="77777777" w:rsidTr="00E73BCF">
      <w:trPr>
        <w:trHeight w:val="10207"/>
      </w:trPr>
      <w:tc>
        <w:tcPr>
          <w:tcW w:w="554" w:type="dxa"/>
          <w:tcBorders>
            <w:bottom w:val="single" w:sz="4" w:space="0" w:color="auto"/>
          </w:tcBorders>
          <w:shd w:val="clear" w:color="auto" w:fill="auto"/>
          <w:textDirection w:val="btLr"/>
        </w:tcPr>
        <w:p w14:paraId="0A1D47F5" w14:textId="1BBAE1E5" w:rsidR="006E38FD" w:rsidRPr="00221CDC" w:rsidRDefault="007A0145" w:rsidP="00A54802">
          <w:pPr>
            <w:framePr w:hSpace="187" w:wrap="around" w:vAnchor="page" w:hAnchor="page" w:x="10774" w:y="5731"/>
            <w:shd w:val="clear" w:color="auto" w:fill="FFFFFF"/>
            <w:spacing w:after="0" w:line="240" w:lineRule="auto"/>
            <w:jc w:val="both"/>
            <w:rPr>
              <w:rFonts w:ascii="Times New Roman" w:hAnsi="Times New Roman"/>
              <w:sz w:val="20"/>
              <w:szCs w:val="20"/>
            </w:rPr>
          </w:pPr>
          <w:r w:rsidRPr="00C25A95">
            <w:rPr>
              <w:rFonts w:asciiTheme="majorBidi" w:hAnsiTheme="majorBidi" w:cstheme="majorBidi"/>
              <w:b/>
              <w:color w:val="000000" w:themeColor="text1"/>
            </w:rPr>
            <w:t>ART. 38 TUB:</w:t>
          </w:r>
          <w:r w:rsidRPr="00C25A95">
            <w:rPr>
              <w:color w:val="000000" w:themeColor="text1"/>
            </w:rPr>
            <w:t xml:space="preserve"> </w:t>
          </w:r>
          <w:r w:rsidRPr="00C25A95">
            <w:rPr>
              <w:rFonts w:asciiTheme="majorBidi" w:hAnsiTheme="majorBidi" w:cstheme="majorBidi"/>
              <w:color w:val="000000" w:themeColor="text1"/>
            </w:rPr>
            <w:t>la violazione</w:t>
          </w:r>
          <w:r w:rsidRPr="00C25A95">
            <w:rPr>
              <w:color w:val="000000" w:themeColor="text1"/>
            </w:rPr>
            <w:t xml:space="preserve"> </w:t>
          </w:r>
          <w:r w:rsidRPr="00C25A95">
            <w:rPr>
              <w:rFonts w:asciiTheme="majorBidi" w:hAnsiTheme="majorBidi" w:cstheme="majorBidi"/>
              <w:color w:val="000000" w:themeColor="text1"/>
            </w:rPr>
            <w:t>non genera nullità in quanto costituisce inosservanza di una regola di comportamento</w:t>
          </w:r>
        </w:p>
      </w:tc>
    </w:tr>
    <w:tr w:rsidR="006E38FD" w14:paraId="712AD265" w14:textId="77777777" w:rsidTr="00F50A1D">
      <w:tc>
        <w:tcPr>
          <w:tcW w:w="554" w:type="dxa"/>
          <w:tcBorders>
            <w:top w:val="single" w:sz="4" w:space="0" w:color="auto"/>
          </w:tcBorders>
          <w:shd w:val="clear" w:color="auto" w:fill="auto"/>
        </w:tcPr>
        <w:p w14:paraId="5C66DCA0" w14:textId="77777777" w:rsidR="006E38FD" w:rsidRPr="00B8454E" w:rsidRDefault="006E38FD" w:rsidP="00BE38E9">
          <w:pPr>
            <w:pStyle w:val="Pidipagina"/>
            <w:framePr w:hSpace="187" w:wrap="around" w:vAnchor="page" w:hAnchor="page" w:x="10774" w:y="5731"/>
            <w:rPr>
              <w:sz w:val="20"/>
              <w:szCs w:val="20"/>
            </w:rPr>
          </w:pPr>
        </w:p>
      </w:tc>
    </w:tr>
    <w:tr w:rsidR="006E38FD" w14:paraId="441161E9" w14:textId="77777777">
      <w:trPr>
        <w:trHeight w:val="768"/>
      </w:trPr>
      <w:tc>
        <w:tcPr>
          <w:tcW w:w="554" w:type="dxa"/>
        </w:tcPr>
        <w:p w14:paraId="12D65897" w14:textId="77777777" w:rsidR="006E38FD" w:rsidRPr="00B8454E" w:rsidRDefault="006E38FD" w:rsidP="00BE38E9">
          <w:pPr>
            <w:pStyle w:val="Intestazione"/>
            <w:framePr w:hSpace="187" w:wrap="around" w:vAnchor="page" w:hAnchor="page" w:x="10774" w:y="5731"/>
            <w:rPr>
              <w:rFonts w:ascii="Garamond" w:hAnsi="Garamond"/>
              <w:sz w:val="20"/>
              <w:szCs w:val="20"/>
            </w:rPr>
          </w:pPr>
          <w:r w:rsidRPr="00B8454E">
            <w:rPr>
              <w:rFonts w:ascii="Garamond" w:hAnsi="Garamond"/>
              <w:sz w:val="20"/>
              <w:szCs w:val="20"/>
            </w:rPr>
            <w:fldChar w:fldCharType="begin"/>
          </w:r>
          <w:r w:rsidRPr="00B8454E">
            <w:rPr>
              <w:rFonts w:ascii="Garamond" w:hAnsi="Garamond"/>
              <w:sz w:val="20"/>
              <w:szCs w:val="20"/>
            </w:rPr>
            <w:instrText>PAGE   \* MERGEFORMAT</w:instrText>
          </w:r>
          <w:r w:rsidRPr="00B8454E">
            <w:rPr>
              <w:rFonts w:ascii="Garamond" w:hAnsi="Garamond"/>
              <w:sz w:val="20"/>
              <w:szCs w:val="20"/>
            </w:rPr>
            <w:fldChar w:fldCharType="separate"/>
          </w:r>
          <w:r w:rsidR="006175D5">
            <w:rPr>
              <w:rFonts w:ascii="Garamond" w:hAnsi="Garamond"/>
              <w:noProof/>
              <w:sz w:val="20"/>
              <w:szCs w:val="20"/>
            </w:rPr>
            <w:t>1</w:t>
          </w:r>
          <w:r w:rsidRPr="00B8454E">
            <w:rPr>
              <w:rFonts w:ascii="Garamond" w:hAnsi="Garamond"/>
              <w:sz w:val="20"/>
              <w:szCs w:val="20"/>
            </w:rPr>
            <w:fldChar w:fldCharType="end"/>
          </w:r>
        </w:p>
      </w:tc>
    </w:tr>
  </w:tbl>
  <w:p w14:paraId="69E6054D" w14:textId="77777777" w:rsidR="006E38FD" w:rsidRPr="00087138" w:rsidRDefault="006E38FD">
    <w:pPr>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72F" w14:textId="77777777" w:rsidR="005C43B5" w:rsidRDefault="005C43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EBF3" w14:textId="77777777" w:rsidR="00534256" w:rsidRDefault="00534256">
      <w:pPr>
        <w:spacing w:after="0" w:line="240" w:lineRule="auto"/>
      </w:pPr>
      <w:r>
        <w:separator/>
      </w:r>
    </w:p>
  </w:footnote>
  <w:footnote w:type="continuationSeparator" w:id="0">
    <w:p w14:paraId="0552C3B2" w14:textId="77777777" w:rsidR="00534256" w:rsidRDefault="0053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27C" w14:textId="77777777" w:rsidR="006E38FD" w:rsidRDefault="007A0145">
    <w:pPr>
      <w:pStyle w:val="Intestazione"/>
    </w:pPr>
    <w:r>
      <w:rPr>
        <w:noProof/>
      </w:rPr>
      <w:pict w14:anchorId="3B09B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232" o:spid="_x0000_s1026" type="#_x0000_t136" style="position:absolute;margin-left:0;margin-top:0;width:614.7pt;height:64.7pt;rotation:315;z-index:-251658752;mso-position-horizontal:center;mso-position-horizontal-relative:margin;mso-position-vertical:center;mso-position-vertical-relative:margin" o:allowincell="f" fillcolor="#365f91" stroked="f">
          <v:fill opacity=".5"/>
          <v:textpath style="font-family:&quot;verdana&quot;;font-size:1pt" string="Ex Parte Credito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352E" w14:textId="71411AAE" w:rsidR="006E38FD" w:rsidRDefault="007A0145" w:rsidP="000F7B2F">
    <w:pPr>
      <w:pStyle w:val="Intestazione"/>
      <w:tabs>
        <w:tab w:val="left" w:pos="1440"/>
        <w:tab w:val="left" w:pos="8902"/>
      </w:tabs>
      <w:jc w:val="center"/>
      <w:rPr>
        <w:noProof/>
      </w:rPr>
    </w:pPr>
    <w:r>
      <w:rPr>
        <w:noProof/>
      </w:rPr>
      <w:pict w14:anchorId="7F0C3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233" o:spid="_x0000_s1027" type="#_x0000_t136" style="position:absolute;left:0;text-align:left;margin-left:0;margin-top:0;width:614.7pt;height:64.7pt;rotation:315;z-index:-251657728;mso-position-horizontal:center;mso-position-horizontal-relative:margin;mso-position-vertical:center;mso-position-vertical-relative:margin" o:allowincell="f" fillcolor="#365f91" stroked="f">
          <v:fill opacity=".5"/>
          <v:textpath style="font-family:&quot;verdana&quot;;font-size:1pt" string="Ex Parte Creditoris"/>
          <w10:wrap anchorx="margin" anchory="margin"/>
        </v:shape>
      </w:pict>
    </w:r>
    <w:r w:rsidR="00484DD7">
      <w:rPr>
        <w:noProof/>
      </w:rPr>
      <w:drawing>
        <wp:inline distT="0" distB="0" distL="0" distR="0" wp14:anchorId="1265E388" wp14:editId="7BCB0275">
          <wp:extent cx="3514725" cy="580390"/>
          <wp:effectExtent l="0" t="0" r="0" b="0"/>
          <wp:docPr id="21" name="Immagine 0" descr="expartecreditoris.logo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expartecreditoris.logo gran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80390"/>
                  </a:xfrm>
                  <a:prstGeom prst="rect">
                    <a:avLst/>
                  </a:prstGeom>
                  <a:noFill/>
                  <a:ln>
                    <a:noFill/>
                  </a:ln>
                </pic:spPr>
              </pic:pic>
            </a:graphicData>
          </a:graphic>
        </wp:inline>
      </w:drawing>
    </w:r>
  </w:p>
  <w:p w14:paraId="21D3672C" w14:textId="6A37F75A" w:rsidR="0043254B" w:rsidRPr="00B8454E" w:rsidRDefault="00306F34" w:rsidP="007A0145">
    <w:pPr>
      <w:pStyle w:val="Intestazione"/>
      <w:jc w:val="center"/>
      <w:rPr>
        <w:rFonts w:ascii="Times New Roman" w:hAnsi="Times New Roman"/>
        <w:i/>
      </w:rPr>
    </w:pPr>
    <w:r>
      <w:rPr>
        <w:rFonts w:ascii="Times New Roman" w:hAnsi="Times New Roman"/>
        <w:b/>
        <w:i/>
        <w:sz w:val="16"/>
        <w:szCs w:val="16"/>
      </w:rPr>
      <w:t>Sentenza</w:t>
    </w:r>
    <w:r w:rsidR="00331DE9">
      <w:rPr>
        <w:rFonts w:ascii="Times New Roman" w:hAnsi="Times New Roman"/>
        <w:b/>
        <w:i/>
        <w:sz w:val="16"/>
        <w:szCs w:val="16"/>
      </w:rPr>
      <w:t>,</w:t>
    </w:r>
    <w:r w:rsidR="008829C1" w:rsidRPr="008829C1">
      <w:t xml:space="preserve"> </w:t>
    </w:r>
    <w:r w:rsidR="007A0145" w:rsidRPr="007A0145">
      <w:rPr>
        <w:rFonts w:ascii="Times New Roman" w:hAnsi="Times New Roman"/>
        <w:b/>
        <w:i/>
        <w:sz w:val="16"/>
        <w:szCs w:val="16"/>
      </w:rPr>
      <w:t>Tribunale di Santa Maria Capua Vetere, Giudice Marta Sodano</w:t>
    </w:r>
    <w:r w:rsidR="007A0145">
      <w:rPr>
        <w:rFonts w:ascii="Times New Roman" w:hAnsi="Times New Roman"/>
        <w:b/>
        <w:i/>
        <w:sz w:val="16"/>
        <w:szCs w:val="16"/>
      </w:rPr>
      <w:t xml:space="preserve">, del </w:t>
    </w:r>
    <w:r w:rsidR="007A0145" w:rsidRPr="007A0145">
      <w:rPr>
        <w:rFonts w:ascii="Times New Roman" w:hAnsi="Times New Roman"/>
        <w:b/>
        <w:i/>
        <w:sz w:val="16"/>
        <w:szCs w:val="16"/>
      </w:rPr>
      <w:t>04/04/2022</w:t>
    </w:r>
    <w:r w:rsidR="007A0145">
      <w:rPr>
        <w:rFonts w:ascii="Times New Roman" w:hAnsi="Times New Roman"/>
        <w:b/>
        <w:i/>
        <w:sz w:val="16"/>
        <w:szCs w:val="16"/>
      </w:rPr>
      <w:t xml:space="preserve"> n. </w:t>
    </w:r>
    <w:r w:rsidR="007A0145" w:rsidRPr="007A0145">
      <w:rPr>
        <w:rFonts w:ascii="Times New Roman" w:hAnsi="Times New Roman"/>
        <w:b/>
        <w:i/>
        <w:sz w:val="16"/>
        <w:szCs w:val="16"/>
      </w:rPr>
      <w:t>1160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5BA8" w14:textId="77777777" w:rsidR="006E38FD" w:rsidRDefault="007A0145">
    <w:pPr>
      <w:pStyle w:val="Intestazione"/>
    </w:pPr>
    <w:r>
      <w:rPr>
        <w:noProof/>
      </w:rPr>
      <w:pict w14:anchorId="69D68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231" o:spid="_x0000_s1025" type="#_x0000_t136" style="position:absolute;margin-left:0;margin-top:0;width:614.7pt;height:64.7pt;rotation:315;z-index:-251659776;mso-position-horizontal:center;mso-position-horizontal-relative:margin;mso-position-vertical:center;mso-position-vertical-relative:margin" o:allowincell="f" fillcolor="#365f91" stroked="f">
          <v:fill opacity=".5"/>
          <v:textpath style="font-family:&quot;verdana&quot;;font-size:1pt" string="Ex Parte Credito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 una nuova finestra" style="width:.5pt;height:.5pt;visibility:visible" o:bullet="t">
        <v:imagedata r:id="rId1" o:title="In una nuova finestra"/>
      </v:shape>
    </w:pict>
  </w:numPicBullet>
  <w:abstractNum w:abstractNumId="0" w15:restartNumberingAfterBreak="0">
    <w:nsid w:val="00000001"/>
    <w:multiLevelType w:val="multilevel"/>
    <w:tmpl w:val="894EE873"/>
    <w:lvl w:ilvl="0">
      <w:start w:val="4"/>
      <w:numFmt w:val="bullet"/>
      <w:lvlText w:val="-"/>
      <w:lvlJc w:val="left"/>
      <w:pPr>
        <w:tabs>
          <w:tab w:val="num" w:pos="360"/>
        </w:tabs>
        <w:ind w:left="360" w:firstLine="360"/>
      </w:pPr>
      <w:rPr>
        <w:rFonts w:ascii="Helvetica" w:eastAsia="ヒラギノ角ゴ Pro W3" w:hAnsi="Helvetica"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00"/>
        </w:tabs>
        <w:ind w:left="300" w:firstLine="0"/>
      </w:pPr>
      <w:rPr>
        <w:rFonts w:hint="default"/>
        <w:position w:val="0"/>
        <w:sz w:val="24"/>
      </w:rPr>
    </w:lvl>
    <w:lvl w:ilvl="1">
      <w:start w:val="1"/>
      <w:numFmt w:val="lowerLetter"/>
      <w:suff w:val="nothing"/>
      <w:lvlText w:val="%2."/>
      <w:lvlJc w:val="left"/>
      <w:pPr>
        <w:ind w:left="0" w:firstLine="660"/>
      </w:pPr>
      <w:rPr>
        <w:rFonts w:hint="default"/>
        <w:position w:val="0"/>
        <w:sz w:val="24"/>
      </w:rPr>
    </w:lvl>
    <w:lvl w:ilvl="2">
      <w:start w:val="1"/>
      <w:numFmt w:val="lowerRoman"/>
      <w:suff w:val="nothing"/>
      <w:lvlText w:val="%3."/>
      <w:lvlJc w:val="left"/>
      <w:pPr>
        <w:ind w:left="0" w:firstLine="1020"/>
      </w:pPr>
      <w:rPr>
        <w:rFonts w:hint="default"/>
        <w:position w:val="0"/>
        <w:sz w:val="24"/>
      </w:rPr>
    </w:lvl>
    <w:lvl w:ilvl="3">
      <w:start w:val="1"/>
      <w:numFmt w:val="decimal"/>
      <w:isLgl/>
      <w:suff w:val="nothing"/>
      <w:lvlText w:val="%4."/>
      <w:lvlJc w:val="left"/>
      <w:pPr>
        <w:ind w:left="0" w:firstLine="1380"/>
      </w:pPr>
      <w:rPr>
        <w:rFonts w:hint="default"/>
        <w:position w:val="0"/>
        <w:sz w:val="24"/>
      </w:rPr>
    </w:lvl>
    <w:lvl w:ilvl="4">
      <w:start w:val="1"/>
      <w:numFmt w:val="lowerLetter"/>
      <w:suff w:val="nothing"/>
      <w:lvlText w:val="%5."/>
      <w:lvlJc w:val="left"/>
      <w:pPr>
        <w:ind w:left="0" w:firstLine="1740"/>
      </w:pPr>
      <w:rPr>
        <w:rFonts w:hint="default"/>
        <w:position w:val="0"/>
        <w:sz w:val="24"/>
      </w:rPr>
    </w:lvl>
    <w:lvl w:ilvl="5">
      <w:start w:val="1"/>
      <w:numFmt w:val="lowerRoman"/>
      <w:suff w:val="nothing"/>
      <w:lvlText w:val="%6."/>
      <w:lvlJc w:val="left"/>
      <w:pPr>
        <w:ind w:left="0" w:firstLine="2100"/>
      </w:pPr>
      <w:rPr>
        <w:rFonts w:hint="default"/>
        <w:position w:val="0"/>
        <w:sz w:val="24"/>
      </w:rPr>
    </w:lvl>
    <w:lvl w:ilvl="6">
      <w:start w:val="1"/>
      <w:numFmt w:val="decimal"/>
      <w:isLgl/>
      <w:suff w:val="nothing"/>
      <w:lvlText w:val="%7."/>
      <w:lvlJc w:val="left"/>
      <w:pPr>
        <w:ind w:left="0" w:firstLine="2460"/>
      </w:pPr>
      <w:rPr>
        <w:rFonts w:hint="default"/>
        <w:position w:val="0"/>
        <w:sz w:val="24"/>
      </w:rPr>
    </w:lvl>
    <w:lvl w:ilvl="7">
      <w:start w:val="1"/>
      <w:numFmt w:val="lowerLetter"/>
      <w:suff w:val="nothing"/>
      <w:lvlText w:val="%8."/>
      <w:lvlJc w:val="left"/>
      <w:pPr>
        <w:ind w:left="0" w:firstLine="2820"/>
      </w:pPr>
      <w:rPr>
        <w:rFonts w:hint="default"/>
        <w:position w:val="0"/>
        <w:sz w:val="24"/>
      </w:rPr>
    </w:lvl>
    <w:lvl w:ilvl="8">
      <w:start w:val="1"/>
      <w:numFmt w:val="lowerRoman"/>
      <w:suff w:val="nothing"/>
      <w:lvlText w:val="%9."/>
      <w:lvlJc w:val="left"/>
      <w:pPr>
        <w:ind w:left="0" w:firstLine="3180"/>
      </w:pPr>
      <w:rPr>
        <w:rFonts w:hint="default"/>
        <w:position w:val="0"/>
        <w:sz w:val="24"/>
      </w:rPr>
    </w:lvl>
  </w:abstractNum>
  <w:abstractNum w:abstractNumId="2" w15:restartNumberingAfterBreak="0">
    <w:nsid w:val="00D10854"/>
    <w:multiLevelType w:val="hybridMultilevel"/>
    <w:tmpl w:val="9B48C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E0FD1"/>
    <w:multiLevelType w:val="singleLevel"/>
    <w:tmpl w:val="1835EA9B"/>
    <w:lvl w:ilvl="0">
      <w:start w:val="3"/>
      <w:numFmt w:val="decimal"/>
      <w:lvlText w:val="%1."/>
      <w:lvlJc w:val="left"/>
      <w:pPr>
        <w:tabs>
          <w:tab w:val="num" w:pos="360"/>
        </w:tabs>
        <w:ind w:left="72"/>
      </w:pPr>
      <w:rPr>
        <w:rFonts w:cs="Times New Roman"/>
        <w:snapToGrid/>
        <w:sz w:val="24"/>
        <w:szCs w:val="24"/>
      </w:rPr>
    </w:lvl>
  </w:abstractNum>
  <w:abstractNum w:abstractNumId="4" w15:restartNumberingAfterBreak="0">
    <w:nsid w:val="090709E7"/>
    <w:multiLevelType w:val="hybridMultilevel"/>
    <w:tmpl w:val="066CD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9771F"/>
    <w:multiLevelType w:val="hybridMultilevel"/>
    <w:tmpl w:val="C3B6CE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51139E"/>
    <w:multiLevelType w:val="singleLevel"/>
    <w:tmpl w:val="70AACD6E"/>
    <w:lvl w:ilvl="0">
      <w:start w:val="1"/>
      <w:numFmt w:val="lowerLetter"/>
      <w:lvlText w:val="%1)"/>
      <w:lvlJc w:val="left"/>
      <w:pPr>
        <w:tabs>
          <w:tab w:val="num" w:pos="1664"/>
        </w:tabs>
        <w:ind w:left="1664" w:hanging="360"/>
      </w:pPr>
      <w:rPr>
        <w:rFonts w:hint="default"/>
      </w:rPr>
    </w:lvl>
  </w:abstractNum>
  <w:abstractNum w:abstractNumId="7" w15:restartNumberingAfterBreak="0">
    <w:nsid w:val="19D36FC9"/>
    <w:multiLevelType w:val="hybridMultilevel"/>
    <w:tmpl w:val="2D5C7A46"/>
    <w:lvl w:ilvl="0" w:tplc="F6B2B83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442A1"/>
    <w:multiLevelType w:val="hybridMultilevel"/>
    <w:tmpl w:val="128E3BF8"/>
    <w:lvl w:ilvl="0" w:tplc="14E4BA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991104"/>
    <w:multiLevelType w:val="hybridMultilevel"/>
    <w:tmpl w:val="F3AA7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D15531"/>
    <w:multiLevelType w:val="hybridMultilevel"/>
    <w:tmpl w:val="417A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7920A7"/>
    <w:multiLevelType w:val="multilevel"/>
    <w:tmpl w:val="07E42E2A"/>
    <w:lvl w:ilvl="0">
      <w:start w:val="1"/>
      <w:numFmt w:val="decimal"/>
      <w:lvlText w:val="%1."/>
      <w:lvlJc w:val="left"/>
      <w:pPr>
        <w:tabs>
          <w:tab w:val="left" w:pos="360"/>
        </w:tabs>
        <w:ind w:left="720"/>
      </w:pPr>
      <w:rPr>
        <w:rFonts w:ascii="Georgia" w:eastAsia="Georgia" w:hAnsi="Georgia"/>
        <w:b/>
        <w:bCs/>
        <w:i/>
        <w:strike w:val="0"/>
        <w:color w:val="000000"/>
        <w:spacing w:val="2"/>
        <w:w w:val="100"/>
        <w:sz w:val="24"/>
        <w:u w:val="single"/>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2B6551"/>
    <w:multiLevelType w:val="hybridMultilevel"/>
    <w:tmpl w:val="DA908418"/>
    <w:lvl w:ilvl="0" w:tplc="1C322EF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9D569C"/>
    <w:multiLevelType w:val="hybridMultilevel"/>
    <w:tmpl w:val="129AE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DA6403"/>
    <w:multiLevelType w:val="hybridMultilevel"/>
    <w:tmpl w:val="32B6DDBA"/>
    <w:lvl w:ilvl="0" w:tplc="D3DA0E12">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5" w15:restartNumberingAfterBreak="0">
    <w:nsid w:val="4E3A5131"/>
    <w:multiLevelType w:val="multilevel"/>
    <w:tmpl w:val="D90A0776"/>
    <w:lvl w:ilvl="0">
      <w:start w:val="16"/>
      <w:numFmt w:val="bullet"/>
      <w:lvlText w:val="-"/>
      <w:lvlJc w:val="left"/>
      <w:pPr>
        <w:tabs>
          <w:tab w:val="num" w:pos="1529"/>
        </w:tabs>
        <w:ind w:left="1529" w:hanging="525"/>
      </w:pPr>
      <w:rPr>
        <w:rFonts w:hint="default"/>
      </w:rPr>
    </w:lvl>
    <w:lvl w:ilvl="1">
      <w:start w:val="1"/>
      <w:numFmt w:val="bullet"/>
      <w:lvlText w:val="o"/>
      <w:lvlJc w:val="left"/>
      <w:pPr>
        <w:tabs>
          <w:tab w:val="num" w:pos="2084"/>
        </w:tabs>
        <w:ind w:left="2084" w:hanging="360"/>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16" w15:restartNumberingAfterBreak="0">
    <w:nsid w:val="52F96ED7"/>
    <w:multiLevelType w:val="hybridMultilevel"/>
    <w:tmpl w:val="BC24667C"/>
    <w:lvl w:ilvl="0" w:tplc="F8DE13AE">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55B59E6"/>
    <w:multiLevelType w:val="hybridMultilevel"/>
    <w:tmpl w:val="ECFE7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E37667"/>
    <w:multiLevelType w:val="hybridMultilevel"/>
    <w:tmpl w:val="5F4E93B4"/>
    <w:lvl w:ilvl="0" w:tplc="FE06E0CA">
      <w:start w:val="1"/>
      <w:numFmt w:val="bullet"/>
      <w:lvlText w:val=""/>
      <w:lvlPicBulletId w:val="0"/>
      <w:lvlJc w:val="left"/>
      <w:pPr>
        <w:tabs>
          <w:tab w:val="num" w:pos="720"/>
        </w:tabs>
        <w:ind w:left="720" w:hanging="360"/>
      </w:pPr>
      <w:rPr>
        <w:rFonts w:ascii="Symbol" w:hAnsi="Symbol" w:hint="default"/>
      </w:rPr>
    </w:lvl>
    <w:lvl w:ilvl="1" w:tplc="4EB60A22" w:tentative="1">
      <w:start w:val="1"/>
      <w:numFmt w:val="bullet"/>
      <w:lvlText w:val=""/>
      <w:lvlJc w:val="left"/>
      <w:pPr>
        <w:tabs>
          <w:tab w:val="num" w:pos="1440"/>
        </w:tabs>
        <w:ind w:left="1440" w:hanging="360"/>
      </w:pPr>
      <w:rPr>
        <w:rFonts w:ascii="Symbol" w:hAnsi="Symbol" w:hint="default"/>
      </w:rPr>
    </w:lvl>
    <w:lvl w:ilvl="2" w:tplc="3586CDCC" w:tentative="1">
      <w:start w:val="1"/>
      <w:numFmt w:val="bullet"/>
      <w:lvlText w:val=""/>
      <w:lvlJc w:val="left"/>
      <w:pPr>
        <w:tabs>
          <w:tab w:val="num" w:pos="2160"/>
        </w:tabs>
        <w:ind w:left="2160" w:hanging="360"/>
      </w:pPr>
      <w:rPr>
        <w:rFonts w:ascii="Symbol" w:hAnsi="Symbol" w:hint="default"/>
      </w:rPr>
    </w:lvl>
    <w:lvl w:ilvl="3" w:tplc="8C40E3FC" w:tentative="1">
      <w:start w:val="1"/>
      <w:numFmt w:val="bullet"/>
      <w:lvlText w:val=""/>
      <w:lvlJc w:val="left"/>
      <w:pPr>
        <w:tabs>
          <w:tab w:val="num" w:pos="2880"/>
        </w:tabs>
        <w:ind w:left="2880" w:hanging="360"/>
      </w:pPr>
      <w:rPr>
        <w:rFonts w:ascii="Symbol" w:hAnsi="Symbol" w:hint="default"/>
      </w:rPr>
    </w:lvl>
    <w:lvl w:ilvl="4" w:tplc="CF4C2412" w:tentative="1">
      <w:start w:val="1"/>
      <w:numFmt w:val="bullet"/>
      <w:lvlText w:val=""/>
      <w:lvlJc w:val="left"/>
      <w:pPr>
        <w:tabs>
          <w:tab w:val="num" w:pos="3600"/>
        </w:tabs>
        <w:ind w:left="3600" w:hanging="360"/>
      </w:pPr>
      <w:rPr>
        <w:rFonts w:ascii="Symbol" w:hAnsi="Symbol" w:hint="default"/>
      </w:rPr>
    </w:lvl>
    <w:lvl w:ilvl="5" w:tplc="50368FD4" w:tentative="1">
      <w:start w:val="1"/>
      <w:numFmt w:val="bullet"/>
      <w:lvlText w:val=""/>
      <w:lvlJc w:val="left"/>
      <w:pPr>
        <w:tabs>
          <w:tab w:val="num" w:pos="4320"/>
        </w:tabs>
        <w:ind w:left="4320" w:hanging="360"/>
      </w:pPr>
      <w:rPr>
        <w:rFonts w:ascii="Symbol" w:hAnsi="Symbol" w:hint="default"/>
      </w:rPr>
    </w:lvl>
    <w:lvl w:ilvl="6" w:tplc="457884F6" w:tentative="1">
      <w:start w:val="1"/>
      <w:numFmt w:val="bullet"/>
      <w:lvlText w:val=""/>
      <w:lvlJc w:val="left"/>
      <w:pPr>
        <w:tabs>
          <w:tab w:val="num" w:pos="5040"/>
        </w:tabs>
        <w:ind w:left="5040" w:hanging="360"/>
      </w:pPr>
      <w:rPr>
        <w:rFonts w:ascii="Symbol" w:hAnsi="Symbol" w:hint="default"/>
      </w:rPr>
    </w:lvl>
    <w:lvl w:ilvl="7" w:tplc="5F304A38" w:tentative="1">
      <w:start w:val="1"/>
      <w:numFmt w:val="bullet"/>
      <w:lvlText w:val=""/>
      <w:lvlJc w:val="left"/>
      <w:pPr>
        <w:tabs>
          <w:tab w:val="num" w:pos="5760"/>
        </w:tabs>
        <w:ind w:left="5760" w:hanging="360"/>
      </w:pPr>
      <w:rPr>
        <w:rFonts w:ascii="Symbol" w:hAnsi="Symbol" w:hint="default"/>
      </w:rPr>
    </w:lvl>
    <w:lvl w:ilvl="8" w:tplc="D1986B6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8D362C4"/>
    <w:multiLevelType w:val="singleLevel"/>
    <w:tmpl w:val="7CB255C6"/>
    <w:lvl w:ilvl="0">
      <w:start w:val="1"/>
      <w:numFmt w:val="lowerLetter"/>
      <w:lvlText w:val="%1)"/>
      <w:lvlJc w:val="left"/>
      <w:pPr>
        <w:tabs>
          <w:tab w:val="num" w:pos="1664"/>
        </w:tabs>
        <w:ind w:left="1664" w:hanging="360"/>
      </w:pPr>
      <w:rPr>
        <w:rFonts w:hint="default"/>
      </w:rPr>
    </w:lvl>
  </w:abstractNum>
  <w:abstractNum w:abstractNumId="20" w15:restartNumberingAfterBreak="0">
    <w:nsid w:val="63440681"/>
    <w:multiLevelType w:val="hybridMultilevel"/>
    <w:tmpl w:val="78DC0A98"/>
    <w:lvl w:ilvl="0" w:tplc="8BB416F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F2C47"/>
    <w:multiLevelType w:val="hybridMultilevel"/>
    <w:tmpl w:val="43EE52A4"/>
    <w:lvl w:ilvl="0" w:tplc="5A4EDFF4">
      <w:start w:val="1"/>
      <w:numFmt w:val="decimal"/>
      <w:lvlText w:val="%1."/>
      <w:lvlJc w:val="left"/>
      <w:pPr>
        <w:ind w:left="-916" w:hanging="360"/>
      </w:pPr>
      <w:rPr>
        <w:rFonts w:hint="default"/>
      </w:rPr>
    </w:lvl>
    <w:lvl w:ilvl="1" w:tplc="04100019" w:tentative="1">
      <w:start w:val="1"/>
      <w:numFmt w:val="lowerLetter"/>
      <w:lvlText w:val="%2."/>
      <w:lvlJc w:val="left"/>
      <w:pPr>
        <w:ind w:left="-196" w:hanging="360"/>
      </w:pPr>
    </w:lvl>
    <w:lvl w:ilvl="2" w:tplc="0410001B" w:tentative="1">
      <w:start w:val="1"/>
      <w:numFmt w:val="lowerRoman"/>
      <w:lvlText w:val="%3."/>
      <w:lvlJc w:val="right"/>
      <w:pPr>
        <w:ind w:left="524" w:hanging="180"/>
      </w:pPr>
    </w:lvl>
    <w:lvl w:ilvl="3" w:tplc="0410000F" w:tentative="1">
      <w:start w:val="1"/>
      <w:numFmt w:val="decimal"/>
      <w:lvlText w:val="%4."/>
      <w:lvlJc w:val="left"/>
      <w:pPr>
        <w:ind w:left="1244" w:hanging="360"/>
      </w:pPr>
    </w:lvl>
    <w:lvl w:ilvl="4" w:tplc="04100019" w:tentative="1">
      <w:start w:val="1"/>
      <w:numFmt w:val="lowerLetter"/>
      <w:lvlText w:val="%5."/>
      <w:lvlJc w:val="left"/>
      <w:pPr>
        <w:ind w:left="1964" w:hanging="360"/>
      </w:pPr>
    </w:lvl>
    <w:lvl w:ilvl="5" w:tplc="0410001B" w:tentative="1">
      <w:start w:val="1"/>
      <w:numFmt w:val="lowerRoman"/>
      <w:lvlText w:val="%6."/>
      <w:lvlJc w:val="right"/>
      <w:pPr>
        <w:ind w:left="2684" w:hanging="180"/>
      </w:pPr>
    </w:lvl>
    <w:lvl w:ilvl="6" w:tplc="0410000F" w:tentative="1">
      <w:start w:val="1"/>
      <w:numFmt w:val="decimal"/>
      <w:lvlText w:val="%7."/>
      <w:lvlJc w:val="left"/>
      <w:pPr>
        <w:ind w:left="3404" w:hanging="360"/>
      </w:pPr>
    </w:lvl>
    <w:lvl w:ilvl="7" w:tplc="04100019" w:tentative="1">
      <w:start w:val="1"/>
      <w:numFmt w:val="lowerLetter"/>
      <w:lvlText w:val="%8."/>
      <w:lvlJc w:val="left"/>
      <w:pPr>
        <w:ind w:left="4124" w:hanging="360"/>
      </w:pPr>
    </w:lvl>
    <w:lvl w:ilvl="8" w:tplc="0410001B" w:tentative="1">
      <w:start w:val="1"/>
      <w:numFmt w:val="lowerRoman"/>
      <w:lvlText w:val="%9."/>
      <w:lvlJc w:val="right"/>
      <w:pPr>
        <w:ind w:left="4844" w:hanging="180"/>
      </w:pPr>
    </w:lvl>
  </w:abstractNum>
  <w:abstractNum w:abstractNumId="22" w15:restartNumberingAfterBreak="0">
    <w:nsid w:val="6A0F0D2D"/>
    <w:multiLevelType w:val="hybridMultilevel"/>
    <w:tmpl w:val="16C4C59A"/>
    <w:lvl w:ilvl="0" w:tplc="C76295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2615B5"/>
    <w:multiLevelType w:val="hybridMultilevel"/>
    <w:tmpl w:val="EE086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693D33"/>
    <w:multiLevelType w:val="hybridMultilevel"/>
    <w:tmpl w:val="CF70A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6067EB"/>
    <w:multiLevelType w:val="hybridMultilevel"/>
    <w:tmpl w:val="4E9408D4"/>
    <w:lvl w:ilvl="0" w:tplc="0C3CCD0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37290F"/>
    <w:multiLevelType w:val="hybridMultilevel"/>
    <w:tmpl w:val="1186A0B0"/>
    <w:lvl w:ilvl="0" w:tplc="EF16A18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77006">
    <w:abstractNumId w:val="19"/>
  </w:num>
  <w:num w:numId="2" w16cid:durableId="1758399842">
    <w:abstractNumId w:val="6"/>
  </w:num>
  <w:num w:numId="3" w16cid:durableId="182519566">
    <w:abstractNumId w:val="10"/>
  </w:num>
  <w:num w:numId="4" w16cid:durableId="1589928169">
    <w:abstractNumId w:val="8"/>
  </w:num>
  <w:num w:numId="5" w16cid:durableId="327563353">
    <w:abstractNumId w:val="20"/>
  </w:num>
  <w:num w:numId="6" w16cid:durableId="2098818587">
    <w:abstractNumId w:val="26"/>
  </w:num>
  <w:num w:numId="7" w16cid:durableId="1515345671">
    <w:abstractNumId w:val="17"/>
  </w:num>
  <w:num w:numId="8" w16cid:durableId="1706054025">
    <w:abstractNumId w:val="16"/>
  </w:num>
  <w:num w:numId="9" w16cid:durableId="720203669">
    <w:abstractNumId w:val="13"/>
  </w:num>
  <w:num w:numId="10" w16cid:durableId="1854800240">
    <w:abstractNumId w:val="5"/>
  </w:num>
  <w:num w:numId="11" w16cid:durableId="1147894645">
    <w:abstractNumId w:val="12"/>
  </w:num>
  <w:num w:numId="12" w16cid:durableId="2109890991">
    <w:abstractNumId w:val="15"/>
  </w:num>
  <w:num w:numId="13" w16cid:durableId="1163736118">
    <w:abstractNumId w:val="9"/>
  </w:num>
  <w:num w:numId="14" w16cid:durableId="836072013">
    <w:abstractNumId w:val="0"/>
  </w:num>
  <w:num w:numId="15" w16cid:durableId="1154566235">
    <w:abstractNumId w:val="1"/>
  </w:num>
  <w:num w:numId="16" w16cid:durableId="2137721016">
    <w:abstractNumId w:val="22"/>
  </w:num>
  <w:num w:numId="17" w16cid:durableId="723794840">
    <w:abstractNumId w:val="25"/>
  </w:num>
  <w:num w:numId="18" w16cid:durableId="1938519195">
    <w:abstractNumId w:val="7"/>
  </w:num>
  <w:num w:numId="19" w16cid:durableId="492141829">
    <w:abstractNumId w:val="24"/>
  </w:num>
  <w:num w:numId="20" w16cid:durableId="1884125866">
    <w:abstractNumId w:val="21"/>
  </w:num>
  <w:num w:numId="21" w16cid:durableId="444933477">
    <w:abstractNumId w:val="2"/>
  </w:num>
  <w:num w:numId="22" w16cid:durableId="1425302982">
    <w:abstractNumId w:val="14"/>
  </w:num>
  <w:num w:numId="23" w16cid:durableId="906957311">
    <w:abstractNumId w:val="18"/>
  </w:num>
  <w:num w:numId="24" w16cid:durableId="507716404">
    <w:abstractNumId w:val="4"/>
  </w:num>
  <w:num w:numId="25" w16cid:durableId="1094518006">
    <w:abstractNumId w:val="23"/>
  </w:num>
  <w:num w:numId="26" w16cid:durableId="1951469445">
    <w:abstractNumId w:val="3"/>
  </w:num>
  <w:num w:numId="27" w16cid:durableId="451631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mirrorMargins/>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62"/>
    <w:rsid w:val="00007E3A"/>
    <w:rsid w:val="00011F6A"/>
    <w:rsid w:val="00014925"/>
    <w:rsid w:val="00017B53"/>
    <w:rsid w:val="00021E5E"/>
    <w:rsid w:val="000239A9"/>
    <w:rsid w:val="000303B8"/>
    <w:rsid w:val="000305E3"/>
    <w:rsid w:val="00031CA8"/>
    <w:rsid w:val="00034714"/>
    <w:rsid w:val="00037B9A"/>
    <w:rsid w:val="000403D2"/>
    <w:rsid w:val="000407B3"/>
    <w:rsid w:val="00045A16"/>
    <w:rsid w:val="00047432"/>
    <w:rsid w:val="00050017"/>
    <w:rsid w:val="00051579"/>
    <w:rsid w:val="00055FEB"/>
    <w:rsid w:val="00061199"/>
    <w:rsid w:val="000625EB"/>
    <w:rsid w:val="0006421D"/>
    <w:rsid w:val="00065650"/>
    <w:rsid w:val="00071703"/>
    <w:rsid w:val="00071E34"/>
    <w:rsid w:val="000729C5"/>
    <w:rsid w:val="000815D2"/>
    <w:rsid w:val="0008166B"/>
    <w:rsid w:val="000843D0"/>
    <w:rsid w:val="000865ED"/>
    <w:rsid w:val="00087138"/>
    <w:rsid w:val="000A71A6"/>
    <w:rsid w:val="000B754D"/>
    <w:rsid w:val="000C0EC4"/>
    <w:rsid w:val="000C1C74"/>
    <w:rsid w:val="000C291A"/>
    <w:rsid w:val="000C69EE"/>
    <w:rsid w:val="000C6F94"/>
    <w:rsid w:val="000D472C"/>
    <w:rsid w:val="000E62A4"/>
    <w:rsid w:val="000E74D1"/>
    <w:rsid w:val="000E7F83"/>
    <w:rsid w:val="000F0B7B"/>
    <w:rsid w:val="000F57E0"/>
    <w:rsid w:val="000F632B"/>
    <w:rsid w:val="000F6785"/>
    <w:rsid w:val="000F7B2F"/>
    <w:rsid w:val="0010099D"/>
    <w:rsid w:val="00103397"/>
    <w:rsid w:val="00103A25"/>
    <w:rsid w:val="00104A59"/>
    <w:rsid w:val="001057A9"/>
    <w:rsid w:val="0011468C"/>
    <w:rsid w:val="00114D94"/>
    <w:rsid w:val="00121A06"/>
    <w:rsid w:val="00122D66"/>
    <w:rsid w:val="00124E1A"/>
    <w:rsid w:val="00125D3D"/>
    <w:rsid w:val="00136643"/>
    <w:rsid w:val="00141D0C"/>
    <w:rsid w:val="001637E3"/>
    <w:rsid w:val="0017317C"/>
    <w:rsid w:val="00173649"/>
    <w:rsid w:val="00174F8E"/>
    <w:rsid w:val="001772DD"/>
    <w:rsid w:val="00177636"/>
    <w:rsid w:val="00177731"/>
    <w:rsid w:val="001805BA"/>
    <w:rsid w:val="00184065"/>
    <w:rsid w:val="00186F87"/>
    <w:rsid w:val="00187628"/>
    <w:rsid w:val="00194920"/>
    <w:rsid w:val="001A17F3"/>
    <w:rsid w:val="001A1FBA"/>
    <w:rsid w:val="001A2208"/>
    <w:rsid w:val="001B26BE"/>
    <w:rsid w:val="001B2892"/>
    <w:rsid w:val="001B2CDE"/>
    <w:rsid w:val="001C1F4C"/>
    <w:rsid w:val="001C2836"/>
    <w:rsid w:val="001C2E73"/>
    <w:rsid w:val="001D02DA"/>
    <w:rsid w:val="001D0C22"/>
    <w:rsid w:val="001D1CC6"/>
    <w:rsid w:val="001D750C"/>
    <w:rsid w:val="001E24ED"/>
    <w:rsid w:val="001E76B5"/>
    <w:rsid w:val="001F0E04"/>
    <w:rsid w:val="001F395F"/>
    <w:rsid w:val="001F6BF1"/>
    <w:rsid w:val="002017A1"/>
    <w:rsid w:val="00203D19"/>
    <w:rsid w:val="00205399"/>
    <w:rsid w:val="00207686"/>
    <w:rsid w:val="00210047"/>
    <w:rsid w:val="002154BB"/>
    <w:rsid w:val="0021645E"/>
    <w:rsid w:val="00220B77"/>
    <w:rsid w:val="00220E68"/>
    <w:rsid w:val="00221CDC"/>
    <w:rsid w:val="00223C93"/>
    <w:rsid w:val="00224A9D"/>
    <w:rsid w:val="00224B71"/>
    <w:rsid w:val="00233BA3"/>
    <w:rsid w:val="0023791A"/>
    <w:rsid w:val="00237F6A"/>
    <w:rsid w:val="00242478"/>
    <w:rsid w:val="0024589B"/>
    <w:rsid w:val="00255E5D"/>
    <w:rsid w:val="0025646A"/>
    <w:rsid w:val="00260CDB"/>
    <w:rsid w:val="0026453D"/>
    <w:rsid w:val="002668E6"/>
    <w:rsid w:val="00266F08"/>
    <w:rsid w:val="00270794"/>
    <w:rsid w:val="0027198C"/>
    <w:rsid w:val="002724D0"/>
    <w:rsid w:val="00276911"/>
    <w:rsid w:val="00276D16"/>
    <w:rsid w:val="00277244"/>
    <w:rsid w:val="00277CD4"/>
    <w:rsid w:val="00290FA8"/>
    <w:rsid w:val="00291E66"/>
    <w:rsid w:val="00293C89"/>
    <w:rsid w:val="002A0EFD"/>
    <w:rsid w:val="002A7CC9"/>
    <w:rsid w:val="002B3CDF"/>
    <w:rsid w:val="002C0586"/>
    <w:rsid w:val="002C276F"/>
    <w:rsid w:val="002D2510"/>
    <w:rsid w:val="002D42AD"/>
    <w:rsid w:val="002D5F52"/>
    <w:rsid w:val="002E5059"/>
    <w:rsid w:val="002E6D9E"/>
    <w:rsid w:val="002F512A"/>
    <w:rsid w:val="002F65FE"/>
    <w:rsid w:val="002F7E82"/>
    <w:rsid w:val="00300E35"/>
    <w:rsid w:val="00306E57"/>
    <w:rsid w:val="00306F34"/>
    <w:rsid w:val="00307CBC"/>
    <w:rsid w:val="0031541A"/>
    <w:rsid w:val="00317F6B"/>
    <w:rsid w:val="003253B3"/>
    <w:rsid w:val="00326DBC"/>
    <w:rsid w:val="00331DE9"/>
    <w:rsid w:val="00333365"/>
    <w:rsid w:val="003374D7"/>
    <w:rsid w:val="003430D2"/>
    <w:rsid w:val="00350145"/>
    <w:rsid w:val="0035192D"/>
    <w:rsid w:val="00357476"/>
    <w:rsid w:val="0035798B"/>
    <w:rsid w:val="00360B45"/>
    <w:rsid w:val="0036322C"/>
    <w:rsid w:val="0036466D"/>
    <w:rsid w:val="003648F0"/>
    <w:rsid w:val="00365584"/>
    <w:rsid w:val="003664FB"/>
    <w:rsid w:val="003724FA"/>
    <w:rsid w:val="00383DC1"/>
    <w:rsid w:val="0038455A"/>
    <w:rsid w:val="00384DB6"/>
    <w:rsid w:val="0038674E"/>
    <w:rsid w:val="00390C7B"/>
    <w:rsid w:val="00393901"/>
    <w:rsid w:val="00395175"/>
    <w:rsid w:val="00396317"/>
    <w:rsid w:val="003A08A5"/>
    <w:rsid w:val="003A3859"/>
    <w:rsid w:val="003A5707"/>
    <w:rsid w:val="003A5A82"/>
    <w:rsid w:val="003B236A"/>
    <w:rsid w:val="003C1681"/>
    <w:rsid w:val="003C5869"/>
    <w:rsid w:val="003D054A"/>
    <w:rsid w:val="003D0B91"/>
    <w:rsid w:val="003D16CC"/>
    <w:rsid w:val="003E1912"/>
    <w:rsid w:val="003E4B53"/>
    <w:rsid w:val="003E554B"/>
    <w:rsid w:val="003E556D"/>
    <w:rsid w:val="003E6546"/>
    <w:rsid w:val="003E67CB"/>
    <w:rsid w:val="003F0B0A"/>
    <w:rsid w:val="003F305B"/>
    <w:rsid w:val="003F3271"/>
    <w:rsid w:val="003F4563"/>
    <w:rsid w:val="003F5C90"/>
    <w:rsid w:val="003F71BF"/>
    <w:rsid w:val="00401B9B"/>
    <w:rsid w:val="004021D9"/>
    <w:rsid w:val="00402273"/>
    <w:rsid w:val="00411423"/>
    <w:rsid w:val="004139AE"/>
    <w:rsid w:val="00416AE7"/>
    <w:rsid w:val="00422222"/>
    <w:rsid w:val="00422D5A"/>
    <w:rsid w:val="0042342B"/>
    <w:rsid w:val="004277E8"/>
    <w:rsid w:val="0043254B"/>
    <w:rsid w:val="0043374C"/>
    <w:rsid w:val="00434306"/>
    <w:rsid w:val="00434F5E"/>
    <w:rsid w:val="00444D65"/>
    <w:rsid w:val="00444F82"/>
    <w:rsid w:val="004506C7"/>
    <w:rsid w:val="004521C4"/>
    <w:rsid w:val="004523DF"/>
    <w:rsid w:val="00460A74"/>
    <w:rsid w:val="004640E3"/>
    <w:rsid w:val="00470F88"/>
    <w:rsid w:val="0047551B"/>
    <w:rsid w:val="00484DD7"/>
    <w:rsid w:val="004A6B8C"/>
    <w:rsid w:val="004B2717"/>
    <w:rsid w:val="004B50F0"/>
    <w:rsid w:val="004B536E"/>
    <w:rsid w:val="004B6873"/>
    <w:rsid w:val="004C21E0"/>
    <w:rsid w:val="004C4200"/>
    <w:rsid w:val="004C49AD"/>
    <w:rsid w:val="004C655D"/>
    <w:rsid w:val="004C770E"/>
    <w:rsid w:val="004E08F0"/>
    <w:rsid w:val="004E1B10"/>
    <w:rsid w:val="004E2FC6"/>
    <w:rsid w:val="004E3E4F"/>
    <w:rsid w:val="004E55AC"/>
    <w:rsid w:val="004E6088"/>
    <w:rsid w:val="004E6A8A"/>
    <w:rsid w:val="004F1981"/>
    <w:rsid w:val="004F21C0"/>
    <w:rsid w:val="004F616B"/>
    <w:rsid w:val="004F7641"/>
    <w:rsid w:val="00502E53"/>
    <w:rsid w:val="00511AF1"/>
    <w:rsid w:val="0051731E"/>
    <w:rsid w:val="005239ED"/>
    <w:rsid w:val="00530780"/>
    <w:rsid w:val="00530CA6"/>
    <w:rsid w:val="00530DB7"/>
    <w:rsid w:val="0053131F"/>
    <w:rsid w:val="00531FC8"/>
    <w:rsid w:val="0053274B"/>
    <w:rsid w:val="00534256"/>
    <w:rsid w:val="005343E0"/>
    <w:rsid w:val="00534773"/>
    <w:rsid w:val="00535E7F"/>
    <w:rsid w:val="0054111F"/>
    <w:rsid w:val="00541684"/>
    <w:rsid w:val="00542431"/>
    <w:rsid w:val="005438BD"/>
    <w:rsid w:val="00551C6C"/>
    <w:rsid w:val="0055224E"/>
    <w:rsid w:val="005522CF"/>
    <w:rsid w:val="00552C3F"/>
    <w:rsid w:val="00553383"/>
    <w:rsid w:val="005559D6"/>
    <w:rsid w:val="00556E13"/>
    <w:rsid w:val="005575B3"/>
    <w:rsid w:val="00557E64"/>
    <w:rsid w:val="00562BE2"/>
    <w:rsid w:val="0056477F"/>
    <w:rsid w:val="0056636A"/>
    <w:rsid w:val="0057186D"/>
    <w:rsid w:val="00572AEA"/>
    <w:rsid w:val="005742EF"/>
    <w:rsid w:val="005774EA"/>
    <w:rsid w:val="00583936"/>
    <w:rsid w:val="0058605E"/>
    <w:rsid w:val="005922D0"/>
    <w:rsid w:val="00593261"/>
    <w:rsid w:val="005A397A"/>
    <w:rsid w:val="005B460A"/>
    <w:rsid w:val="005B57AE"/>
    <w:rsid w:val="005B5D47"/>
    <w:rsid w:val="005C2A57"/>
    <w:rsid w:val="005C2BAD"/>
    <w:rsid w:val="005C43B5"/>
    <w:rsid w:val="005C507B"/>
    <w:rsid w:val="005C63FC"/>
    <w:rsid w:val="005D14B3"/>
    <w:rsid w:val="005D25F3"/>
    <w:rsid w:val="005D4422"/>
    <w:rsid w:val="005F1AD0"/>
    <w:rsid w:val="005F1E80"/>
    <w:rsid w:val="005F3111"/>
    <w:rsid w:val="005F5850"/>
    <w:rsid w:val="005F5E09"/>
    <w:rsid w:val="005F672C"/>
    <w:rsid w:val="006121C4"/>
    <w:rsid w:val="0061220D"/>
    <w:rsid w:val="006126E8"/>
    <w:rsid w:val="00613BF2"/>
    <w:rsid w:val="00613EE3"/>
    <w:rsid w:val="006175D5"/>
    <w:rsid w:val="006230F2"/>
    <w:rsid w:val="00623A83"/>
    <w:rsid w:val="00627712"/>
    <w:rsid w:val="00631064"/>
    <w:rsid w:val="00634A83"/>
    <w:rsid w:val="006378B4"/>
    <w:rsid w:val="0064230C"/>
    <w:rsid w:val="006479C6"/>
    <w:rsid w:val="006507DA"/>
    <w:rsid w:val="0065287A"/>
    <w:rsid w:val="0065296F"/>
    <w:rsid w:val="00653964"/>
    <w:rsid w:val="00654D58"/>
    <w:rsid w:val="00657587"/>
    <w:rsid w:val="00660127"/>
    <w:rsid w:val="0066204C"/>
    <w:rsid w:val="00665397"/>
    <w:rsid w:val="00665C6C"/>
    <w:rsid w:val="00666729"/>
    <w:rsid w:val="006739D6"/>
    <w:rsid w:val="00676D67"/>
    <w:rsid w:val="00685B45"/>
    <w:rsid w:val="00686312"/>
    <w:rsid w:val="00694671"/>
    <w:rsid w:val="006A0004"/>
    <w:rsid w:val="006A4011"/>
    <w:rsid w:val="006A5753"/>
    <w:rsid w:val="006B051C"/>
    <w:rsid w:val="006B53CD"/>
    <w:rsid w:val="006B6CEE"/>
    <w:rsid w:val="006C0B22"/>
    <w:rsid w:val="006C7E82"/>
    <w:rsid w:val="006D03F0"/>
    <w:rsid w:val="006D3DB2"/>
    <w:rsid w:val="006D3DD1"/>
    <w:rsid w:val="006D63D8"/>
    <w:rsid w:val="006E2F77"/>
    <w:rsid w:val="006E38FD"/>
    <w:rsid w:val="006F7263"/>
    <w:rsid w:val="007010D3"/>
    <w:rsid w:val="007105CD"/>
    <w:rsid w:val="0071449D"/>
    <w:rsid w:val="00716390"/>
    <w:rsid w:val="00717C19"/>
    <w:rsid w:val="00726B2E"/>
    <w:rsid w:val="007312E8"/>
    <w:rsid w:val="00731DB8"/>
    <w:rsid w:val="00731EBE"/>
    <w:rsid w:val="00733090"/>
    <w:rsid w:val="00735DD4"/>
    <w:rsid w:val="0073727C"/>
    <w:rsid w:val="00741A99"/>
    <w:rsid w:val="0074296A"/>
    <w:rsid w:val="007519C6"/>
    <w:rsid w:val="00753E7E"/>
    <w:rsid w:val="0076288C"/>
    <w:rsid w:val="00762B42"/>
    <w:rsid w:val="00766438"/>
    <w:rsid w:val="0077218B"/>
    <w:rsid w:val="00774665"/>
    <w:rsid w:val="00774BA5"/>
    <w:rsid w:val="00781731"/>
    <w:rsid w:val="00781B9B"/>
    <w:rsid w:val="007907D0"/>
    <w:rsid w:val="007A0145"/>
    <w:rsid w:val="007A2456"/>
    <w:rsid w:val="007A404E"/>
    <w:rsid w:val="007B50DE"/>
    <w:rsid w:val="007B6F09"/>
    <w:rsid w:val="007B6F7D"/>
    <w:rsid w:val="007C088B"/>
    <w:rsid w:val="007C11DE"/>
    <w:rsid w:val="007C1797"/>
    <w:rsid w:val="007C1799"/>
    <w:rsid w:val="007C1B5F"/>
    <w:rsid w:val="007C1B96"/>
    <w:rsid w:val="007C295C"/>
    <w:rsid w:val="007E2226"/>
    <w:rsid w:val="007E335F"/>
    <w:rsid w:val="007E695F"/>
    <w:rsid w:val="007F0EB1"/>
    <w:rsid w:val="007F145E"/>
    <w:rsid w:val="007F321C"/>
    <w:rsid w:val="007F4695"/>
    <w:rsid w:val="007F6D4C"/>
    <w:rsid w:val="00800553"/>
    <w:rsid w:val="00800B8C"/>
    <w:rsid w:val="00807A0F"/>
    <w:rsid w:val="00815D35"/>
    <w:rsid w:val="00817311"/>
    <w:rsid w:val="0082471D"/>
    <w:rsid w:val="0082515A"/>
    <w:rsid w:val="00834276"/>
    <w:rsid w:val="00837DD5"/>
    <w:rsid w:val="00847804"/>
    <w:rsid w:val="00847DE0"/>
    <w:rsid w:val="00851789"/>
    <w:rsid w:val="00852A1E"/>
    <w:rsid w:val="00852C6D"/>
    <w:rsid w:val="008536FE"/>
    <w:rsid w:val="00855222"/>
    <w:rsid w:val="00857A2C"/>
    <w:rsid w:val="008619EA"/>
    <w:rsid w:val="0086553D"/>
    <w:rsid w:val="008829C1"/>
    <w:rsid w:val="00882B1C"/>
    <w:rsid w:val="00886504"/>
    <w:rsid w:val="0088707E"/>
    <w:rsid w:val="008952CB"/>
    <w:rsid w:val="00895DA6"/>
    <w:rsid w:val="008A329F"/>
    <w:rsid w:val="008A388F"/>
    <w:rsid w:val="008B6F49"/>
    <w:rsid w:val="008C1331"/>
    <w:rsid w:val="008C2B29"/>
    <w:rsid w:val="008C2DE2"/>
    <w:rsid w:val="008C5679"/>
    <w:rsid w:val="008D0492"/>
    <w:rsid w:val="008D66F0"/>
    <w:rsid w:val="008D7D3D"/>
    <w:rsid w:val="008E4B5D"/>
    <w:rsid w:val="008E7D38"/>
    <w:rsid w:val="008F1F7D"/>
    <w:rsid w:val="008F29FF"/>
    <w:rsid w:val="008F70CA"/>
    <w:rsid w:val="0090359D"/>
    <w:rsid w:val="009048A4"/>
    <w:rsid w:val="00904EAA"/>
    <w:rsid w:val="00910640"/>
    <w:rsid w:val="00911E5B"/>
    <w:rsid w:val="00912318"/>
    <w:rsid w:val="00915585"/>
    <w:rsid w:val="00922AF8"/>
    <w:rsid w:val="0092519C"/>
    <w:rsid w:val="00925D9A"/>
    <w:rsid w:val="009349C2"/>
    <w:rsid w:val="0093787D"/>
    <w:rsid w:val="009472C5"/>
    <w:rsid w:val="009501CE"/>
    <w:rsid w:val="0095070E"/>
    <w:rsid w:val="00963E18"/>
    <w:rsid w:val="009671F5"/>
    <w:rsid w:val="00973220"/>
    <w:rsid w:val="009732D2"/>
    <w:rsid w:val="00975E8C"/>
    <w:rsid w:val="00982748"/>
    <w:rsid w:val="00984CDA"/>
    <w:rsid w:val="009857F1"/>
    <w:rsid w:val="00986B8D"/>
    <w:rsid w:val="00990894"/>
    <w:rsid w:val="00993F15"/>
    <w:rsid w:val="009A31CC"/>
    <w:rsid w:val="009B1C95"/>
    <w:rsid w:val="009B5D1C"/>
    <w:rsid w:val="009C34D4"/>
    <w:rsid w:val="009C3646"/>
    <w:rsid w:val="009C4D40"/>
    <w:rsid w:val="009C5DF9"/>
    <w:rsid w:val="009D04DA"/>
    <w:rsid w:val="009D2B8A"/>
    <w:rsid w:val="009D31A7"/>
    <w:rsid w:val="009D38FD"/>
    <w:rsid w:val="009D45E7"/>
    <w:rsid w:val="009D4A02"/>
    <w:rsid w:val="009E724E"/>
    <w:rsid w:val="009F3972"/>
    <w:rsid w:val="00A00F16"/>
    <w:rsid w:val="00A0217A"/>
    <w:rsid w:val="00A04CB6"/>
    <w:rsid w:val="00A06F38"/>
    <w:rsid w:val="00A15E73"/>
    <w:rsid w:val="00A20A89"/>
    <w:rsid w:val="00A269B4"/>
    <w:rsid w:val="00A31349"/>
    <w:rsid w:val="00A326C5"/>
    <w:rsid w:val="00A356AF"/>
    <w:rsid w:val="00A35B8C"/>
    <w:rsid w:val="00A42EDD"/>
    <w:rsid w:val="00A518DF"/>
    <w:rsid w:val="00A54802"/>
    <w:rsid w:val="00A64ACC"/>
    <w:rsid w:val="00A659DE"/>
    <w:rsid w:val="00A66C44"/>
    <w:rsid w:val="00A714D4"/>
    <w:rsid w:val="00A71B5C"/>
    <w:rsid w:val="00A75059"/>
    <w:rsid w:val="00A811CE"/>
    <w:rsid w:val="00A81D85"/>
    <w:rsid w:val="00A8511C"/>
    <w:rsid w:val="00A90282"/>
    <w:rsid w:val="00A921D7"/>
    <w:rsid w:val="00A94931"/>
    <w:rsid w:val="00A96A65"/>
    <w:rsid w:val="00A97D85"/>
    <w:rsid w:val="00AA0DED"/>
    <w:rsid w:val="00AA2733"/>
    <w:rsid w:val="00AA4690"/>
    <w:rsid w:val="00AA4A23"/>
    <w:rsid w:val="00AB38E3"/>
    <w:rsid w:val="00AB7C99"/>
    <w:rsid w:val="00AD2589"/>
    <w:rsid w:val="00AD2858"/>
    <w:rsid w:val="00AE0ACD"/>
    <w:rsid w:val="00AE3A1F"/>
    <w:rsid w:val="00AF0246"/>
    <w:rsid w:val="00AF0772"/>
    <w:rsid w:val="00AF3EBF"/>
    <w:rsid w:val="00AF67EF"/>
    <w:rsid w:val="00B02754"/>
    <w:rsid w:val="00B04A34"/>
    <w:rsid w:val="00B07916"/>
    <w:rsid w:val="00B12ADB"/>
    <w:rsid w:val="00B13461"/>
    <w:rsid w:val="00B20C67"/>
    <w:rsid w:val="00B22338"/>
    <w:rsid w:val="00B24DF5"/>
    <w:rsid w:val="00B26B7F"/>
    <w:rsid w:val="00B26EEE"/>
    <w:rsid w:val="00B31606"/>
    <w:rsid w:val="00B31FB9"/>
    <w:rsid w:val="00B33CF2"/>
    <w:rsid w:val="00B37B05"/>
    <w:rsid w:val="00B405E8"/>
    <w:rsid w:val="00B46E08"/>
    <w:rsid w:val="00B47162"/>
    <w:rsid w:val="00B5792B"/>
    <w:rsid w:val="00B63FF6"/>
    <w:rsid w:val="00B643B6"/>
    <w:rsid w:val="00B67DE9"/>
    <w:rsid w:val="00B701A8"/>
    <w:rsid w:val="00B718BE"/>
    <w:rsid w:val="00B726E0"/>
    <w:rsid w:val="00B72E66"/>
    <w:rsid w:val="00B768A7"/>
    <w:rsid w:val="00B77C74"/>
    <w:rsid w:val="00B81932"/>
    <w:rsid w:val="00B82A63"/>
    <w:rsid w:val="00B8454E"/>
    <w:rsid w:val="00B86A3A"/>
    <w:rsid w:val="00B87EB1"/>
    <w:rsid w:val="00B90595"/>
    <w:rsid w:val="00B935FC"/>
    <w:rsid w:val="00B93F3C"/>
    <w:rsid w:val="00BB2A96"/>
    <w:rsid w:val="00BB49FF"/>
    <w:rsid w:val="00BB773E"/>
    <w:rsid w:val="00BC58E8"/>
    <w:rsid w:val="00BC6121"/>
    <w:rsid w:val="00BD4A46"/>
    <w:rsid w:val="00BD5ADC"/>
    <w:rsid w:val="00BD68B5"/>
    <w:rsid w:val="00BE016C"/>
    <w:rsid w:val="00BE106F"/>
    <w:rsid w:val="00BE38E9"/>
    <w:rsid w:val="00BF02AC"/>
    <w:rsid w:val="00BF1039"/>
    <w:rsid w:val="00BF7321"/>
    <w:rsid w:val="00BF7A38"/>
    <w:rsid w:val="00C061B4"/>
    <w:rsid w:val="00C0722E"/>
    <w:rsid w:val="00C10AD6"/>
    <w:rsid w:val="00C11C31"/>
    <w:rsid w:val="00C14C3B"/>
    <w:rsid w:val="00C1799F"/>
    <w:rsid w:val="00C270DA"/>
    <w:rsid w:val="00C27532"/>
    <w:rsid w:val="00C30EA7"/>
    <w:rsid w:val="00C3311B"/>
    <w:rsid w:val="00C35E6E"/>
    <w:rsid w:val="00C4495B"/>
    <w:rsid w:val="00C475EA"/>
    <w:rsid w:val="00C50BF9"/>
    <w:rsid w:val="00C51CD2"/>
    <w:rsid w:val="00C53174"/>
    <w:rsid w:val="00C62D40"/>
    <w:rsid w:val="00C65B5C"/>
    <w:rsid w:val="00C66949"/>
    <w:rsid w:val="00C70160"/>
    <w:rsid w:val="00C71C30"/>
    <w:rsid w:val="00C757F5"/>
    <w:rsid w:val="00C80E57"/>
    <w:rsid w:val="00C855D1"/>
    <w:rsid w:val="00C879C3"/>
    <w:rsid w:val="00C92B39"/>
    <w:rsid w:val="00C94544"/>
    <w:rsid w:val="00CA3E47"/>
    <w:rsid w:val="00CA5E9E"/>
    <w:rsid w:val="00CB1630"/>
    <w:rsid w:val="00CB4A07"/>
    <w:rsid w:val="00CB7E90"/>
    <w:rsid w:val="00CC2642"/>
    <w:rsid w:val="00CC4ABE"/>
    <w:rsid w:val="00CD1F3C"/>
    <w:rsid w:val="00CD2374"/>
    <w:rsid w:val="00CD4A3F"/>
    <w:rsid w:val="00CD62D5"/>
    <w:rsid w:val="00CD7E2F"/>
    <w:rsid w:val="00CE0C20"/>
    <w:rsid w:val="00CE136A"/>
    <w:rsid w:val="00CE4B05"/>
    <w:rsid w:val="00CF0550"/>
    <w:rsid w:val="00CF45F0"/>
    <w:rsid w:val="00D004A6"/>
    <w:rsid w:val="00D0225E"/>
    <w:rsid w:val="00D045F3"/>
    <w:rsid w:val="00D06D6B"/>
    <w:rsid w:val="00D100BD"/>
    <w:rsid w:val="00D24E6D"/>
    <w:rsid w:val="00D25FEC"/>
    <w:rsid w:val="00D268DF"/>
    <w:rsid w:val="00D4145B"/>
    <w:rsid w:val="00D42A2A"/>
    <w:rsid w:val="00D60EFF"/>
    <w:rsid w:val="00D619A1"/>
    <w:rsid w:val="00D62786"/>
    <w:rsid w:val="00D66F01"/>
    <w:rsid w:val="00D735C6"/>
    <w:rsid w:val="00D7406E"/>
    <w:rsid w:val="00D745B3"/>
    <w:rsid w:val="00D84E03"/>
    <w:rsid w:val="00D86D53"/>
    <w:rsid w:val="00D95EE4"/>
    <w:rsid w:val="00DA3769"/>
    <w:rsid w:val="00DA5540"/>
    <w:rsid w:val="00DA56B8"/>
    <w:rsid w:val="00DB38B9"/>
    <w:rsid w:val="00DB5735"/>
    <w:rsid w:val="00DC40F1"/>
    <w:rsid w:val="00DC5F3B"/>
    <w:rsid w:val="00DC6731"/>
    <w:rsid w:val="00DC7A7A"/>
    <w:rsid w:val="00DD2025"/>
    <w:rsid w:val="00DE0336"/>
    <w:rsid w:val="00DF11FB"/>
    <w:rsid w:val="00DF6B87"/>
    <w:rsid w:val="00DF7597"/>
    <w:rsid w:val="00E0049C"/>
    <w:rsid w:val="00E02ACC"/>
    <w:rsid w:val="00E035B6"/>
    <w:rsid w:val="00E141BA"/>
    <w:rsid w:val="00E15670"/>
    <w:rsid w:val="00E16E75"/>
    <w:rsid w:val="00E20E12"/>
    <w:rsid w:val="00E2316C"/>
    <w:rsid w:val="00E24FD5"/>
    <w:rsid w:val="00E25437"/>
    <w:rsid w:val="00E259A8"/>
    <w:rsid w:val="00E269C3"/>
    <w:rsid w:val="00E26CE6"/>
    <w:rsid w:val="00E35DCE"/>
    <w:rsid w:val="00E37A38"/>
    <w:rsid w:val="00E4038A"/>
    <w:rsid w:val="00E41E7D"/>
    <w:rsid w:val="00E42BEF"/>
    <w:rsid w:val="00E45159"/>
    <w:rsid w:val="00E464CB"/>
    <w:rsid w:val="00E50311"/>
    <w:rsid w:val="00E60B64"/>
    <w:rsid w:val="00E61E47"/>
    <w:rsid w:val="00E66E57"/>
    <w:rsid w:val="00E67030"/>
    <w:rsid w:val="00E73BCF"/>
    <w:rsid w:val="00E7443B"/>
    <w:rsid w:val="00E74817"/>
    <w:rsid w:val="00E765FC"/>
    <w:rsid w:val="00E76EF6"/>
    <w:rsid w:val="00E812DE"/>
    <w:rsid w:val="00E8240C"/>
    <w:rsid w:val="00E90482"/>
    <w:rsid w:val="00E916D9"/>
    <w:rsid w:val="00E954C9"/>
    <w:rsid w:val="00EA1019"/>
    <w:rsid w:val="00EA3078"/>
    <w:rsid w:val="00EA58C6"/>
    <w:rsid w:val="00EA623D"/>
    <w:rsid w:val="00EB1C15"/>
    <w:rsid w:val="00EB1DBA"/>
    <w:rsid w:val="00EB439A"/>
    <w:rsid w:val="00ED68E1"/>
    <w:rsid w:val="00EE593B"/>
    <w:rsid w:val="00EE6C74"/>
    <w:rsid w:val="00EE6E1C"/>
    <w:rsid w:val="00EF12D1"/>
    <w:rsid w:val="00EF17B8"/>
    <w:rsid w:val="00EF2A84"/>
    <w:rsid w:val="00F000DB"/>
    <w:rsid w:val="00F00179"/>
    <w:rsid w:val="00F01014"/>
    <w:rsid w:val="00F03055"/>
    <w:rsid w:val="00F03B73"/>
    <w:rsid w:val="00F05C9C"/>
    <w:rsid w:val="00F06644"/>
    <w:rsid w:val="00F06C81"/>
    <w:rsid w:val="00F14554"/>
    <w:rsid w:val="00F15378"/>
    <w:rsid w:val="00F24B18"/>
    <w:rsid w:val="00F263AE"/>
    <w:rsid w:val="00F268FB"/>
    <w:rsid w:val="00F26A89"/>
    <w:rsid w:val="00F31B35"/>
    <w:rsid w:val="00F3749F"/>
    <w:rsid w:val="00F4258E"/>
    <w:rsid w:val="00F43F78"/>
    <w:rsid w:val="00F45081"/>
    <w:rsid w:val="00F50A1D"/>
    <w:rsid w:val="00F51DF8"/>
    <w:rsid w:val="00F523DD"/>
    <w:rsid w:val="00F55975"/>
    <w:rsid w:val="00F55C25"/>
    <w:rsid w:val="00F60033"/>
    <w:rsid w:val="00F654A2"/>
    <w:rsid w:val="00F752FB"/>
    <w:rsid w:val="00F8117A"/>
    <w:rsid w:val="00F81DE8"/>
    <w:rsid w:val="00F8263B"/>
    <w:rsid w:val="00F8343F"/>
    <w:rsid w:val="00F87EC7"/>
    <w:rsid w:val="00F9182E"/>
    <w:rsid w:val="00F92942"/>
    <w:rsid w:val="00F97575"/>
    <w:rsid w:val="00F97E82"/>
    <w:rsid w:val="00FB2A97"/>
    <w:rsid w:val="00FC1B62"/>
    <w:rsid w:val="00FC22DA"/>
    <w:rsid w:val="00FC39F3"/>
    <w:rsid w:val="00FC556F"/>
    <w:rsid w:val="00FC56C6"/>
    <w:rsid w:val="00FD5B8C"/>
    <w:rsid w:val="00FE025E"/>
    <w:rsid w:val="00FE3A13"/>
    <w:rsid w:val="00FE462E"/>
    <w:rsid w:val="00FF2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DE2D60"/>
  <w15:chartTrackingRefBased/>
  <w15:docId w15:val="{1D41056F-CDC3-4E54-97D2-BAC56A4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spacing w:after="0" w:line="240" w:lineRule="exact"/>
      <w:ind w:left="1304" w:right="1871"/>
      <w:jc w:val="center"/>
      <w:outlineLvl w:val="0"/>
    </w:pPr>
    <w:rPr>
      <w:rFonts w:ascii="Times New Roman" w:eastAsia="Times New Roman" w:hAnsi="Times New Roman"/>
      <w:b/>
      <w:sz w:val="24"/>
    </w:rPr>
  </w:style>
  <w:style w:type="paragraph" w:styleId="Titolo2">
    <w:name w:val="heading 2"/>
    <w:basedOn w:val="Normale"/>
    <w:next w:val="Normale"/>
    <w:link w:val="Titolo2Carattere"/>
    <w:uiPriority w:val="9"/>
    <w:qFormat/>
    <w:pPr>
      <w:keepNext/>
      <w:spacing w:after="0" w:line="240" w:lineRule="exact"/>
      <w:ind w:left="1304" w:right="1871"/>
      <w:jc w:val="both"/>
      <w:outlineLvl w:val="1"/>
    </w:pPr>
    <w:rPr>
      <w:rFonts w:ascii="Times New Roman" w:eastAsia="Times New Roman" w:hAnsi="Times New Roman"/>
      <w:b/>
      <w:sz w:val="24"/>
    </w:rPr>
  </w:style>
  <w:style w:type="paragraph" w:styleId="Titolo3">
    <w:name w:val="heading 3"/>
    <w:basedOn w:val="Normale"/>
    <w:next w:val="Normale"/>
    <w:link w:val="Titolo3Carattere"/>
    <w:uiPriority w:val="9"/>
    <w:qFormat/>
    <w:pPr>
      <w:keepNext/>
      <w:spacing w:line="240" w:lineRule="exact"/>
      <w:ind w:right="2"/>
      <w:jc w:val="center"/>
      <w:outlineLvl w:val="2"/>
    </w:pPr>
    <w:rPr>
      <w:rFonts w:ascii="Times New Roman" w:hAnsi="Times New Roman"/>
      <w:b/>
      <w:sz w:val="24"/>
    </w:rPr>
  </w:style>
  <w:style w:type="paragraph" w:styleId="Titolo4">
    <w:name w:val="heading 4"/>
    <w:basedOn w:val="Normale"/>
    <w:next w:val="Normale"/>
    <w:link w:val="Titolo4Carattere"/>
    <w:uiPriority w:val="9"/>
    <w:qFormat/>
    <w:pPr>
      <w:keepNext/>
      <w:spacing w:after="0" w:line="240" w:lineRule="exact"/>
      <w:jc w:val="both"/>
      <w:outlineLvl w:val="3"/>
    </w:pPr>
    <w:rPr>
      <w:rFonts w:ascii="Times New Roman" w:hAnsi="Times New Roman"/>
      <w:b/>
      <w:sz w:val="24"/>
    </w:rPr>
  </w:style>
  <w:style w:type="paragraph" w:styleId="Titolo5">
    <w:name w:val="heading 5"/>
    <w:basedOn w:val="Normale"/>
    <w:next w:val="Normale"/>
    <w:link w:val="Titolo5Carattere"/>
    <w:uiPriority w:val="9"/>
    <w:qFormat/>
    <w:pPr>
      <w:keepNext/>
      <w:spacing w:after="0" w:line="240" w:lineRule="exact"/>
      <w:jc w:val="center"/>
      <w:outlineLvl w:val="4"/>
    </w:pPr>
    <w:rPr>
      <w:rFonts w:ascii="Times New Roman" w:hAnsi="Times New Roman"/>
      <w:b/>
      <w:sz w:val="24"/>
    </w:rPr>
  </w:style>
  <w:style w:type="paragraph" w:styleId="Titolo6">
    <w:name w:val="heading 6"/>
    <w:basedOn w:val="Normale"/>
    <w:next w:val="Normale"/>
    <w:link w:val="Titolo6Carattere"/>
    <w:uiPriority w:val="9"/>
    <w:semiHidden/>
    <w:unhideWhenUsed/>
    <w:qFormat/>
    <w:rsid w:val="00654D58"/>
    <w:pPr>
      <w:spacing w:before="240" w:after="60"/>
      <w:outlineLvl w:val="5"/>
    </w:pPr>
    <w:rPr>
      <w:rFonts w:eastAsia="Times New Roman"/>
      <w:b/>
      <w:bCs/>
      <w:noProof/>
      <w:lang w:eastAsia="it-IT"/>
    </w:rPr>
  </w:style>
  <w:style w:type="paragraph" w:styleId="Titolo7">
    <w:name w:val="heading 7"/>
    <w:basedOn w:val="Normale"/>
    <w:next w:val="Normale"/>
    <w:link w:val="Titolo7Carattere"/>
    <w:uiPriority w:val="9"/>
    <w:semiHidden/>
    <w:unhideWhenUsed/>
    <w:qFormat/>
    <w:rsid w:val="00654D58"/>
    <w:pPr>
      <w:spacing w:before="240" w:after="60"/>
      <w:outlineLvl w:val="6"/>
    </w:pPr>
    <w:rPr>
      <w:rFonts w:eastAsia="Times New Roman"/>
      <w:noProof/>
      <w:sz w:val="24"/>
      <w:szCs w:val="24"/>
      <w:lang w:eastAsia="it-IT"/>
    </w:rPr>
  </w:style>
  <w:style w:type="paragraph" w:styleId="Titolo8">
    <w:name w:val="heading 8"/>
    <w:basedOn w:val="Normale"/>
    <w:next w:val="Normale"/>
    <w:link w:val="Titolo8Carattere"/>
    <w:uiPriority w:val="9"/>
    <w:semiHidden/>
    <w:unhideWhenUsed/>
    <w:qFormat/>
    <w:rsid w:val="00654D58"/>
    <w:pPr>
      <w:spacing w:before="240" w:after="60"/>
      <w:outlineLvl w:val="7"/>
    </w:pPr>
    <w:rPr>
      <w:rFonts w:eastAsia="Times New Roman"/>
      <w:i/>
      <w:iCs/>
      <w:noProof/>
      <w:sz w:val="24"/>
      <w:szCs w:val="24"/>
      <w:lang w:eastAsia="it-IT"/>
    </w:rPr>
  </w:style>
  <w:style w:type="paragraph" w:styleId="Titolo9">
    <w:name w:val="heading 9"/>
    <w:basedOn w:val="Normale"/>
    <w:next w:val="Normale"/>
    <w:link w:val="Titolo9Carattere"/>
    <w:uiPriority w:val="9"/>
    <w:semiHidden/>
    <w:unhideWhenUsed/>
    <w:qFormat/>
    <w:rsid w:val="00654D58"/>
    <w:pPr>
      <w:spacing w:before="240" w:after="60"/>
      <w:outlineLvl w:val="8"/>
    </w:pPr>
    <w:rPr>
      <w:rFonts w:ascii="Calibri Light" w:eastAsia="Times New Roman" w:hAnsi="Calibri Light"/>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Testofumetto">
    <w:name w:val="Balloon Text"/>
    <w:basedOn w:val="Normale"/>
    <w:uiPriority w:val="99"/>
    <w:semiHidden/>
    <w:unhideWhenUsed/>
    <w:pPr>
      <w:spacing w:after="0" w:line="240" w:lineRule="auto"/>
    </w:pPr>
    <w:rPr>
      <w:rFonts w:ascii="Tahoma" w:hAnsi="Tahoma"/>
      <w:sz w:val="16"/>
      <w:szCs w:val="16"/>
      <w:lang w:val="x-none" w:eastAsia="x-none"/>
    </w:rPr>
  </w:style>
  <w:style w:type="character" w:customStyle="1" w:styleId="TestofumettoCarattere">
    <w:name w:val="Testo fumetto Carattere"/>
    <w:uiPriority w:val="99"/>
    <w:semiHidden/>
    <w:rPr>
      <w:rFonts w:ascii="Tahoma" w:hAnsi="Tahoma" w:cs="Tahoma"/>
      <w:sz w:val="16"/>
      <w:szCs w:val="16"/>
    </w:rPr>
  </w:style>
  <w:style w:type="paragraph" w:styleId="Titolo">
    <w:name w:val="Title"/>
    <w:basedOn w:val="Normale"/>
    <w:link w:val="TitoloCarattere"/>
    <w:uiPriority w:val="10"/>
    <w:qFormat/>
    <w:pPr>
      <w:jc w:val="center"/>
    </w:pPr>
    <w:rPr>
      <w:rFonts w:ascii="Times New Roman" w:hAnsi="Times New Roman"/>
      <w:b/>
    </w:rPr>
  </w:style>
  <w:style w:type="paragraph" w:styleId="Paragrafoelenco">
    <w:name w:val="List Paragraph"/>
    <w:basedOn w:val="Normale"/>
    <w:uiPriority w:val="34"/>
    <w:qFormat/>
    <w:pPr>
      <w:widowControl w:val="0"/>
      <w:spacing w:after="0" w:line="240" w:lineRule="auto"/>
      <w:ind w:left="708"/>
    </w:pPr>
    <w:rPr>
      <w:rFonts w:ascii="Times New Roman" w:eastAsia="Times New Roman" w:hAnsi="Times New Roman"/>
      <w:sz w:val="24"/>
    </w:rPr>
  </w:style>
  <w:style w:type="paragraph" w:styleId="Testodelblocco">
    <w:name w:val="Block Text"/>
    <w:basedOn w:val="Normale"/>
    <w:semiHidden/>
    <w:pPr>
      <w:spacing w:after="0" w:line="240" w:lineRule="exact"/>
      <w:ind w:left="1304" w:right="1871"/>
      <w:jc w:val="both"/>
    </w:pPr>
    <w:rPr>
      <w:rFonts w:ascii="Times New Roman" w:eastAsia="Times New Roman" w:hAnsi="Times New Roman"/>
      <w:sz w:val="24"/>
    </w:rPr>
  </w:style>
  <w:style w:type="paragraph" w:customStyle="1" w:styleId="Default">
    <w:name w:val="Default"/>
    <w:rsid w:val="00FD5B8C"/>
    <w:pPr>
      <w:autoSpaceDE w:val="0"/>
      <w:autoSpaceDN w:val="0"/>
      <w:adjustRightInd w:val="0"/>
    </w:pPr>
    <w:rPr>
      <w:rFonts w:cs="Calibri"/>
      <w:color w:val="000000"/>
      <w:sz w:val="24"/>
      <w:szCs w:val="24"/>
      <w:lang w:eastAsia="en-US"/>
    </w:rPr>
  </w:style>
  <w:style w:type="paragraph" w:customStyle="1" w:styleId="a">
    <w:basedOn w:val="Normale"/>
    <w:next w:val="Corpotesto"/>
    <w:rsid w:val="00103397"/>
    <w:pPr>
      <w:spacing w:after="0" w:line="360" w:lineRule="auto"/>
      <w:jc w:val="both"/>
    </w:pPr>
    <w:rPr>
      <w:rFonts w:ascii="Bookman Old Style" w:eastAsia="Times New Roman" w:hAnsi="Bookman Old Style"/>
      <w:sz w:val="24"/>
      <w:szCs w:val="24"/>
      <w:lang w:eastAsia="it-IT"/>
    </w:rPr>
  </w:style>
  <w:style w:type="paragraph" w:styleId="Corpodeltesto2">
    <w:name w:val="Body Text 2"/>
    <w:basedOn w:val="Normale"/>
    <w:link w:val="Corpodeltesto2Carattere"/>
    <w:rsid w:val="00103397"/>
    <w:pPr>
      <w:spacing w:after="0" w:line="360" w:lineRule="auto"/>
      <w:jc w:val="both"/>
    </w:pPr>
    <w:rPr>
      <w:rFonts w:ascii="Times New Roman" w:eastAsia="Times New Roman" w:hAnsi="Times New Roman"/>
      <w:color w:val="000000"/>
      <w:sz w:val="24"/>
      <w:szCs w:val="20"/>
      <w:lang w:eastAsia="it-IT"/>
    </w:rPr>
  </w:style>
  <w:style w:type="character" w:customStyle="1" w:styleId="Corpodeltesto2Carattere">
    <w:name w:val="Corpo del testo 2 Carattere"/>
    <w:link w:val="Corpodeltesto2"/>
    <w:rsid w:val="00103397"/>
    <w:rPr>
      <w:rFonts w:ascii="Times New Roman" w:eastAsia="Times New Roman" w:hAnsi="Times New Roman"/>
      <w:color w:val="000000"/>
      <w:sz w:val="24"/>
    </w:rPr>
  </w:style>
  <w:style w:type="paragraph" w:styleId="Corpotesto">
    <w:name w:val="Body Text"/>
    <w:basedOn w:val="Normale"/>
    <w:link w:val="CorpotestoCarattere"/>
    <w:uiPriority w:val="99"/>
    <w:semiHidden/>
    <w:unhideWhenUsed/>
    <w:rsid w:val="00103397"/>
    <w:pPr>
      <w:spacing w:after="120"/>
    </w:pPr>
  </w:style>
  <w:style w:type="character" w:customStyle="1" w:styleId="CorpotestoCarattere">
    <w:name w:val="Corpo testo Carattere"/>
    <w:link w:val="Corpotesto"/>
    <w:uiPriority w:val="99"/>
    <w:semiHidden/>
    <w:rsid w:val="00103397"/>
    <w:rPr>
      <w:sz w:val="22"/>
      <w:szCs w:val="22"/>
      <w:lang w:eastAsia="en-US"/>
    </w:rPr>
  </w:style>
  <w:style w:type="character" w:customStyle="1" w:styleId="apple-converted-space">
    <w:name w:val="apple-converted-space"/>
    <w:rsid w:val="007010D3"/>
  </w:style>
  <w:style w:type="paragraph" w:customStyle="1" w:styleId="Titolo61">
    <w:name w:val="Titolo 61"/>
    <w:basedOn w:val="Normale"/>
    <w:next w:val="Normale"/>
    <w:uiPriority w:val="9"/>
    <w:semiHidden/>
    <w:unhideWhenUsed/>
    <w:qFormat/>
    <w:rsid w:val="00654D58"/>
    <w:pPr>
      <w:spacing w:before="240" w:after="60" w:line="240" w:lineRule="auto"/>
      <w:outlineLvl w:val="5"/>
    </w:pPr>
    <w:rPr>
      <w:rFonts w:eastAsia="Times New Roman"/>
      <w:b/>
      <w:bCs/>
      <w:noProof/>
    </w:rPr>
  </w:style>
  <w:style w:type="paragraph" w:customStyle="1" w:styleId="Titolo71">
    <w:name w:val="Titolo 71"/>
    <w:basedOn w:val="Normale"/>
    <w:next w:val="Normale"/>
    <w:uiPriority w:val="9"/>
    <w:semiHidden/>
    <w:unhideWhenUsed/>
    <w:qFormat/>
    <w:rsid w:val="00654D58"/>
    <w:pPr>
      <w:spacing w:before="240" w:after="60" w:line="240" w:lineRule="auto"/>
      <w:outlineLvl w:val="6"/>
    </w:pPr>
    <w:rPr>
      <w:rFonts w:eastAsia="Times New Roman"/>
      <w:noProof/>
      <w:sz w:val="24"/>
      <w:szCs w:val="24"/>
    </w:rPr>
  </w:style>
  <w:style w:type="paragraph" w:customStyle="1" w:styleId="Titolo81">
    <w:name w:val="Titolo 81"/>
    <w:basedOn w:val="Normale"/>
    <w:next w:val="Normale"/>
    <w:uiPriority w:val="9"/>
    <w:semiHidden/>
    <w:unhideWhenUsed/>
    <w:qFormat/>
    <w:rsid w:val="00654D58"/>
    <w:pPr>
      <w:spacing w:before="240" w:after="60" w:line="240" w:lineRule="auto"/>
      <w:outlineLvl w:val="7"/>
    </w:pPr>
    <w:rPr>
      <w:rFonts w:eastAsia="Times New Roman"/>
      <w:i/>
      <w:iCs/>
      <w:noProof/>
      <w:sz w:val="24"/>
      <w:szCs w:val="24"/>
    </w:rPr>
  </w:style>
  <w:style w:type="paragraph" w:customStyle="1" w:styleId="Titolo91">
    <w:name w:val="Titolo 91"/>
    <w:basedOn w:val="Normale"/>
    <w:next w:val="Normale"/>
    <w:uiPriority w:val="9"/>
    <w:semiHidden/>
    <w:unhideWhenUsed/>
    <w:qFormat/>
    <w:rsid w:val="00654D58"/>
    <w:pPr>
      <w:spacing w:before="240" w:after="60" w:line="240" w:lineRule="auto"/>
      <w:outlineLvl w:val="8"/>
    </w:pPr>
    <w:rPr>
      <w:rFonts w:ascii="Calibri Light" w:eastAsia="Times New Roman" w:hAnsi="Calibri Light"/>
      <w:noProof/>
    </w:rPr>
  </w:style>
  <w:style w:type="numbering" w:customStyle="1" w:styleId="Nessunelenco1">
    <w:name w:val="Nessun elenco1"/>
    <w:next w:val="Nessunelenco"/>
    <w:uiPriority w:val="99"/>
    <w:semiHidden/>
    <w:unhideWhenUsed/>
    <w:rsid w:val="00654D58"/>
  </w:style>
  <w:style w:type="character" w:customStyle="1" w:styleId="Titolo1Carattere">
    <w:name w:val="Titolo 1 Carattere"/>
    <w:link w:val="Titolo1"/>
    <w:uiPriority w:val="9"/>
    <w:rsid w:val="00654D58"/>
    <w:rPr>
      <w:rFonts w:ascii="Times New Roman" w:eastAsia="Times New Roman" w:hAnsi="Times New Roman"/>
      <w:b/>
      <w:sz w:val="24"/>
      <w:szCs w:val="22"/>
      <w:lang w:eastAsia="en-US"/>
    </w:rPr>
  </w:style>
  <w:style w:type="character" w:customStyle="1" w:styleId="Titolo2Carattere">
    <w:name w:val="Titolo 2 Carattere"/>
    <w:link w:val="Titolo2"/>
    <w:uiPriority w:val="9"/>
    <w:rsid w:val="00654D58"/>
    <w:rPr>
      <w:rFonts w:ascii="Times New Roman" w:eastAsia="Times New Roman" w:hAnsi="Times New Roman"/>
      <w:b/>
      <w:sz w:val="24"/>
      <w:szCs w:val="22"/>
      <w:lang w:eastAsia="en-US"/>
    </w:rPr>
  </w:style>
  <w:style w:type="character" w:customStyle="1" w:styleId="Titolo3Carattere">
    <w:name w:val="Titolo 3 Carattere"/>
    <w:link w:val="Titolo3"/>
    <w:uiPriority w:val="9"/>
    <w:rsid w:val="00654D58"/>
    <w:rPr>
      <w:rFonts w:ascii="Times New Roman" w:hAnsi="Times New Roman"/>
      <w:b/>
      <w:sz w:val="24"/>
      <w:szCs w:val="22"/>
      <w:lang w:eastAsia="en-US"/>
    </w:rPr>
  </w:style>
  <w:style w:type="character" w:customStyle="1" w:styleId="Titolo4Carattere">
    <w:name w:val="Titolo 4 Carattere"/>
    <w:link w:val="Titolo4"/>
    <w:uiPriority w:val="9"/>
    <w:rsid w:val="00654D58"/>
    <w:rPr>
      <w:rFonts w:ascii="Times New Roman" w:hAnsi="Times New Roman"/>
      <w:b/>
      <w:sz w:val="24"/>
      <w:szCs w:val="22"/>
      <w:lang w:eastAsia="en-US"/>
    </w:rPr>
  </w:style>
  <w:style w:type="character" w:customStyle="1" w:styleId="Titolo5Carattere">
    <w:name w:val="Titolo 5 Carattere"/>
    <w:link w:val="Titolo5"/>
    <w:uiPriority w:val="9"/>
    <w:rsid w:val="00654D58"/>
    <w:rPr>
      <w:rFonts w:ascii="Times New Roman" w:hAnsi="Times New Roman"/>
      <w:b/>
      <w:sz w:val="24"/>
      <w:szCs w:val="22"/>
      <w:lang w:eastAsia="en-US"/>
    </w:rPr>
  </w:style>
  <w:style w:type="character" w:customStyle="1" w:styleId="Titolo6Carattere">
    <w:name w:val="Titolo 6 Carattere"/>
    <w:link w:val="Titolo6"/>
    <w:uiPriority w:val="9"/>
    <w:semiHidden/>
    <w:rsid w:val="00654D58"/>
    <w:rPr>
      <w:rFonts w:ascii="Calibri" w:eastAsia="Times New Roman" w:hAnsi="Calibri" w:cs="Times New Roman"/>
      <w:b/>
      <w:bCs/>
      <w:noProof/>
      <w:sz w:val="22"/>
      <w:szCs w:val="22"/>
    </w:rPr>
  </w:style>
  <w:style w:type="character" w:customStyle="1" w:styleId="Titolo7Carattere">
    <w:name w:val="Titolo 7 Carattere"/>
    <w:link w:val="Titolo7"/>
    <w:uiPriority w:val="9"/>
    <w:semiHidden/>
    <w:rsid w:val="00654D58"/>
    <w:rPr>
      <w:rFonts w:ascii="Calibri" w:eastAsia="Times New Roman" w:hAnsi="Calibri" w:cs="Times New Roman"/>
      <w:noProof/>
      <w:sz w:val="24"/>
      <w:szCs w:val="24"/>
    </w:rPr>
  </w:style>
  <w:style w:type="character" w:customStyle="1" w:styleId="Titolo8Carattere">
    <w:name w:val="Titolo 8 Carattere"/>
    <w:link w:val="Titolo8"/>
    <w:uiPriority w:val="9"/>
    <w:semiHidden/>
    <w:rsid w:val="00654D58"/>
    <w:rPr>
      <w:rFonts w:ascii="Calibri" w:eastAsia="Times New Roman" w:hAnsi="Calibri" w:cs="Times New Roman"/>
      <w:i/>
      <w:iCs/>
      <w:noProof/>
      <w:sz w:val="24"/>
      <w:szCs w:val="24"/>
    </w:rPr>
  </w:style>
  <w:style w:type="character" w:customStyle="1" w:styleId="Titolo9Carattere">
    <w:name w:val="Titolo 9 Carattere"/>
    <w:link w:val="Titolo9"/>
    <w:uiPriority w:val="9"/>
    <w:semiHidden/>
    <w:rsid w:val="00654D58"/>
    <w:rPr>
      <w:rFonts w:ascii="Calibri Light" w:eastAsia="Times New Roman" w:hAnsi="Calibri Light" w:cs="Times New Roman"/>
      <w:noProof/>
      <w:sz w:val="22"/>
      <w:szCs w:val="22"/>
    </w:rPr>
  </w:style>
  <w:style w:type="paragraph" w:customStyle="1" w:styleId="Indirizzodestinatario1">
    <w:name w:val="Indirizzo destinatario1"/>
    <w:basedOn w:val="Normale"/>
    <w:next w:val="Indirizzodestinatario"/>
    <w:semiHidden/>
    <w:rsid w:val="00654D58"/>
    <w:pPr>
      <w:framePr w:w="7920" w:h="1980" w:hRule="exact" w:hSpace="141" w:wrap="auto" w:hAnchor="page" w:xAlign="center" w:yAlign="bottom"/>
      <w:spacing w:after="0" w:line="240" w:lineRule="auto"/>
      <w:ind w:left="2880"/>
    </w:pPr>
    <w:rPr>
      <w:rFonts w:ascii="Times New Roman" w:hAnsi="Times New Roman"/>
      <w:noProof/>
    </w:rPr>
  </w:style>
  <w:style w:type="paragraph" w:customStyle="1" w:styleId="Didascalia1">
    <w:name w:val="Didascalia1"/>
    <w:basedOn w:val="Normale"/>
    <w:next w:val="Normale"/>
    <w:uiPriority w:val="35"/>
    <w:semiHidden/>
    <w:unhideWhenUsed/>
    <w:qFormat/>
    <w:rsid w:val="00654D58"/>
    <w:pPr>
      <w:spacing w:after="0" w:line="240" w:lineRule="auto"/>
    </w:pPr>
    <w:rPr>
      <w:rFonts w:ascii="Times New Roman" w:hAnsi="Times New Roman"/>
      <w:b/>
      <w:bCs/>
      <w:noProof/>
      <w:sz w:val="20"/>
      <w:szCs w:val="20"/>
    </w:rPr>
  </w:style>
  <w:style w:type="character" w:customStyle="1" w:styleId="TitoloCarattere">
    <w:name w:val="Titolo Carattere"/>
    <w:link w:val="Titolo"/>
    <w:uiPriority w:val="10"/>
    <w:rsid w:val="00654D58"/>
    <w:rPr>
      <w:rFonts w:ascii="Times New Roman" w:hAnsi="Times New Roman"/>
      <w:b/>
      <w:sz w:val="22"/>
      <w:szCs w:val="22"/>
      <w:lang w:eastAsia="en-US"/>
    </w:rPr>
  </w:style>
  <w:style w:type="paragraph" w:customStyle="1" w:styleId="Sottotitolo1">
    <w:name w:val="Sottotitolo1"/>
    <w:basedOn w:val="Normale"/>
    <w:next w:val="Normale"/>
    <w:uiPriority w:val="11"/>
    <w:qFormat/>
    <w:rsid w:val="00654D58"/>
    <w:pPr>
      <w:spacing w:after="60" w:line="240" w:lineRule="auto"/>
      <w:jc w:val="center"/>
      <w:outlineLvl w:val="1"/>
    </w:pPr>
    <w:rPr>
      <w:rFonts w:ascii="Calibri Light" w:eastAsia="Times New Roman" w:hAnsi="Calibri Light"/>
      <w:noProof/>
      <w:sz w:val="24"/>
      <w:szCs w:val="24"/>
    </w:rPr>
  </w:style>
  <w:style w:type="character" w:customStyle="1" w:styleId="SottotitoloCarattere">
    <w:name w:val="Sottotitolo Carattere"/>
    <w:link w:val="Sottotitolo"/>
    <w:uiPriority w:val="11"/>
    <w:rsid w:val="00654D58"/>
    <w:rPr>
      <w:rFonts w:ascii="Calibri Light" w:eastAsia="Times New Roman" w:hAnsi="Calibri Light" w:cs="Times New Roman"/>
      <w:noProof/>
      <w:sz w:val="24"/>
      <w:szCs w:val="24"/>
    </w:rPr>
  </w:style>
  <w:style w:type="character" w:styleId="Enfasigrassetto">
    <w:name w:val="Strong"/>
    <w:uiPriority w:val="22"/>
    <w:qFormat/>
    <w:rsid w:val="00654D58"/>
    <w:rPr>
      <w:b/>
      <w:bCs/>
    </w:rPr>
  </w:style>
  <w:style w:type="character" w:styleId="Enfasicorsivo">
    <w:name w:val="Emphasis"/>
    <w:uiPriority w:val="20"/>
    <w:qFormat/>
    <w:rsid w:val="00654D58"/>
    <w:rPr>
      <w:i/>
      <w:iCs/>
    </w:rPr>
  </w:style>
  <w:style w:type="paragraph" w:customStyle="1" w:styleId="Nessunaspaziatura1">
    <w:name w:val="Nessuna spaziatura1"/>
    <w:next w:val="Nessunaspaziatura"/>
    <w:uiPriority w:val="1"/>
    <w:qFormat/>
    <w:rsid w:val="00654D58"/>
    <w:rPr>
      <w:rFonts w:ascii="Times New Roman" w:hAnsi="Times New Roman"/>
      <w:sz w:val="22"/>
      <w:szCs w:val="22"/>
      <w:lang w:val="en-US" w:eastAsia="en-US"/>
    </w:rPr>
  </w:style>
  <w:style w:type="paragraph" w:customStyle="1" w:styleId="Citazione1">
    <w:name w:val="Citazione1"/>
    <w:basedOn w:val="Normale"/>
    <w:next w:val="Normale"/>
    <w:uiPriority w:val="29"/>
    <w:qFormat/>
    <w:rsid w:val="00654D58"/>
    <w:pPr>
      <w:spacing w:before="200" w:after="160" w:line="240" w:lineRule="auto"/>
      <w:ind w:left="864" w:right="864"/>
      <w:jc w:val="center"/>
    </w:pPr>
    <w:rPr>
      <w:rFonts w:ascii="Times New Roman" w:hAnsi="Times New Roman"/>
      <w:i/>
      <w:iCs/>
      <w:noProof/>
      <w:color w:val="404040"/>
    </w:rPr>
  </w:style>
  <w:style w:type="character" w:customStyle="1" w:styleId="CitazioneCarattere">
    <w:name w:val="Citazione Carattere"/>
    <w:link w:val="Citazione"/>
    <w:uiPriority w:val="29"/>
    <w:rsid w:val="00654D58"/>
    <w:rPr>
      <w:i/>
      <w:iCs/>
      <w:noProof/>
      <w:color w:val="404040"/>
      <w:sz w:val="22"/>
      <w:szCs w:val="22"/>
    </w:rPr>
  </w:style>
  <w:style w:type="paragraph" w:customStyle="1" w:styleId="Citazioneintensa1">
    <w:name w:val="Citazione intensa1"/>
    <w:basedOn w:val="Normale"/>
    <w:next w:val="Normale"/>
    <w:uiPriority w:val="30"/>
    <w:qFormat/>
    <w:rsid w:val="00654D58"/>
    <w:pPr>
      <w:pBdr>
        <w:top w:val="single" w:sz="4" w:space="10" w:color="5B9BD5"/>
        <w:bottom w:val="single" w:sz="4" w:space="10" w:color="5B9BD5"/>
      </w:pBdr>
      <w:spacing w:before="360" w:after="360" w:line="240" w:lineRule="auto"/>
      <w:ind w:left="864" w:right="864"/>
      <w:jc w:val="center"/>
    </w:pPr>
    <w:rPr>
      <w:rFonts w:ascii="Times New Roman" w:hAnsi="Times New Roman"/>
      <w:i/>
      <w:iCs/>
      <w:noProof/>
      <w:color w:val="5B9BD5"/>
    </w:rPr>
  </w:style>
  <w:style w:type="character" w:customStyle="1" w:styleId="CitazioneintensaCarattere">
    <w:name w:val="Citazione intensa Carattere"/>
    <w:link w:val="Citazioneintensa"/>
    <w:uiPriority w:val="30"/>
    <w:rsid w:val="00654D58"/>
    <w:rPr>
      <w:i/>
      <w:iCs/>
      <w:noProof/>
      <w:color w:val="5B9BD5"/>
      <w:sz w:val="22"/>
      <w:szCs w:val="22"/>
    </w:rPr>
  </w:style>
  <w:style w:type="character" w:customStyle="1" w:styleId="Enfasidelicata1">
    <w:name w:val="Enfasi delicata1"/>
    <w:uiPriority w:val="19"/>
    <w:qFormat/>
    <w:rsid w:val="00654D58"/>
    <w:rPr>
      <w:i/>
      <w:iCs/>
      <w:color w:val="404040"/>
    </w:rPr>
  </w:style>
  <w:style w:type="character" w:customStyle="1" w:styleId="Enfasiintensa1">
    <w:name w:val="Enfasi intensa1"/>
    <w:uiPriority w:val="21"/>
    <w:qFormat/>
    <w:rsid w:val="00654D58"/>
    <w:rPr>
      <w:i/>
      <w:iCs/>
      <w:color w:val="5B9BD5"/>
    </w:rPr>
  </w:style>
  <w:style w:type="character" w:customStyle="1" w:styleId="Riferimentodelicato1">
    <w:name w:val="Riferimento delicato1"/>
    <w:uiPriority w:val="31"/>
    <w:qFormat/>
    <w:rsid w:val="00654D58"/>
    <w:rPr>
      <w:smallCaps/>
      <w:color w:val="5A5A5A"/>
    </w:rPr>
  </w:style>
  <w:style w:type="character" w:customStyle="1" w:styleId="Riferimentointenso1">
    <w:name w:val="Riferimento intenso1"/>
    <w:uiPriority w:val="32"/>
    <w:qFormat/>
    <w:rsid w:val="00654D58"/>
    <w:rPr>
      <w:b/>
      <w:bCs/>
      <w:smallCaps/>
      <w:color w:val="5B9BD5"/>
      <w:spacing w:val="5"/>
    </w:rPr>
  </w:style>
  <w:style w:type="character" w:styleId="Titolodellibro">
    <w:name w:val="Book Title"/>
    <w:uiPriority w:val="33"/>
    <w:qFormat/>
    <w:rsid w:val="00654D58"/>
    <w:rPr>
      <w:b/>
      <w:bCs/>
      <w:i/>
      <w:iCs/>
      <w:spacing w:val="5"/>
    </w:rPr>
  </w:style>
  <w:style w:type="paragraph" w:customStyle="1" w:styleId="Titolosommario1">
    <w:name w:val="Titolo sommario1"/>
    <w:basedOn w:val="Titolo1"/>
    <w:next w:val="Normale"/>
    <w:uiPriority w:val="39"/>
    <w:semiHidden/>
    <w:unhideWhenUsed/>
    <w:qFormat/>
    <w:rsid w:val="00654D58"/>
    <w:pPr>
      <w:spacing w:before="240" w:after="60" w:line="240" w:lineRule="auto"/>
      <w:ind w:left="0" w:right="0"/>
      <w:jc w:val="left"/>
      <w:outlineLvl w:val="9"/>
    </w:pPr>
    <w:rPr>
      <w:rFonts w:ascii="Calibri Light" w:hAnsi="Calibri Light"/>
      <w:bCs/>
      <w:noProof/>
      <w:kern w:val="32"/>
      <w:sz w:val="32"/>
      <w:szCs w:val="32"/>
    </w:rPr>
  </w:style>
  <w:style w:type="paragraph" w:styleId="PreformattatoHTML">
    <w:name w:val="HTML Preformatted"/>
    <w:basedOn w:val="Normale"/>
    <w:link w:val="PreformattatoHTMLCarattere"/>
    <w:uiPriority w:val="99"/>
    <w:unhideWhenUsed/>
    <w:rsid w:val="0065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654D58"/>
    <w:rPr>
      <w:rFonts w:ascii="Courier New" w:eastAsia="Times New Roman" w:hAnsi="Courier New" w:cs="Courier New"/>
    </w:rPr>
  </w:style>
  <w:style w:type="character" w:customStyle="1" w:styleId="PreformattatoHTMLCarattere1">
    <w:name w:val="Preformattato HTML Carattere1"/>
    <w:uiPriority w:val="99"/>
    <w:semiHidden/>
    <w:rsid w:val="00654D58"/>
    <w:rPr>
      <w:rFonts w:ascii="Consolas" w:hAnsi="Consolas" w:cs="Consolas"/>
      <w:sz w:val="20"/>
      <w:szCs w:val="20"/>
    </w:rPr>
  </w:style>
  <w:style w:type="character" w:styleId="Collegamentoipertestuale">
    <w:name w:val="Hyperlink"/>
    <w:uiPriority w:val="99"/>
    <w:unhideWhenUsed/>
    <w:rsid w:val="00654D58"/>
    <w:rPr>
      <w:color w:val="0000FF"/>
      <w:u w:val="single"/>
    </w:rPr>
  </w:style>
  <w:style w:type="paragraph" w:customStyle="1" w:styleId="NormaleWeb1">
    <w:name w:val="Normale (Web)1"/>
    <w:basedOn w:val="Normale"/>
    <w:next w:val="NormaleWeb"/>
    <w:uiPriority w:val="99"/>
    <w:unhideWhenUsed/>
    <w:rsid w:val="00654D58"/>
    <w:pPr>
      <w:spacing w:before="100" w:beforeAutospacing="1" w:after="100" w:afterAutospacing="1" w:line="240" w:lineRule="auto"/>
    </w:pPr>
    <w:rPr>
      <w:rFonts w:ascii="Times New Roman" w:hAnsi="Times New Roman"/>
      <w:sz w:val="24"/>
      <w:szCs w:val="24"/>
      <w:lang w:eastAsia="it-IT"/>
    </w:rPr>
  </w:style>
  <w:style w:type="character" w:customStyle="1" w:styleId="rosso2">
    <w:name w:val="rosso2"/>
    <w:rsid w:val="00654D58"/>
    <w:rPr>
      <w:b w:val="0"/>
      <w:bCs w:val="0"/>
      <w:color w:val="FF0000"/>
    </w:rPr>
  </w:style>
  <w:style w:type="character" w:customStyle="1" w:styleId="riferimento2">
    <w:name w:val="riferimento2"/>
    <w:rsid w:val="00654D58"/>
    <w:rPr>
      <w:color w:val="4A970B"/>
    </w:rPr>
  </w:style>
  <w:style w:type="character" w:customStyle="1" w:styleId="riferimento">
    <w:name w:val="riferimento"/>
    <w:rsid w:val="00654D58"/>
  </w:style>
  <w:style w:type="character" w:customStyle="1" w:styleId="righetta">
    <w:name w:val="righetta"/>
    <w:rsid w:val="00654D58"/>
  </w:style>
  <w:style w:type="character" w:customStyle="1" w:styleId="righettadx">
    <w:name w:val="righetta_dx"/>
    <w:rsid w:val="00654D58"/>
  </w:style>
  <w:style w:type="character" w:customStyle="1" w:styleId="dentro">
    <w:name w:val="dentro"/>
    <w:rsid w:val="00654D58"/>
  </w:style>
  <w:style w:type="character" w:customStyle="1" w:styleId="Titolo6Carattere1">
    <w:name w:val="Titolo 6 Carattere1"/>
    <w:uiPriority w:val="9"/>
    <w:semiHidden/>
    <w:rsid w:val="00654D58"/>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654D58"/>
    <w:rPr>
      <w:rFonts w:ascii="Calibri" w:eastAsia="Times New Roman" w:hAnsi="Calibri" w:cs="Times New Roman"/>
      <w:sz w:val="24"/>
      <w:szCs w:val="24"/>
      <w:lang w:eastAsia="en-US"/>
    </w:rPr>
  </w:style>
  <w:style w:type="character" w:customStyle="1" w:styleId="Titolo8Carattere1">
    <w:name w:val="Titolo 8 Carattere1"/>
    <w:uiPriority w:val="9"/>
    <w:semiHidden/>
    <w:rsid w:val="00654D58"/>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654D58"/>
    <w:rPr>
      <w:rFonts w:ascii="Calibri Light" w:eastAsia="Times New Roman" w:hAnsi="Calibri Light" w:cs="Times New Roman"/>
      <w:sz w:val="22"/>
      <w:szCs w:val="22"/>
      <w:lang w:eastAsia="en-US"/>
    </w:rPr>
  </w:style>
  <w:style w:type="paragraph" w:styleId="Indirizzodestinatario">
    <w:name w:val="envelope address"/>
    <w:basedOn w:val="Normale"/>
    <w:semiHidden/>
    <w:unhideWhenUsed/>
    <w:rsid w:val="00654D58"/>
    <w:pPr>
      <w:framePr w:w="7920" w:h="1980" w:hRule="exact" w:hSpace="141" w:wrap="auto" w:hAnchor="page" w:xAlign="center" w:yAlign="bottom"/>
      <w:ind w:left="2880"/>
    </w:pPr>
    <w:rPr>
      <w:rFonts w:ascii="Calibri Light" w:eastAsia="Times New Roman" w:hAnsi="Calibri Light"/>
      <w:sz w:val="24"/>
      <w:szCs w:val="24"/>
    </w:rPr>
  </w:style>
  <w:style w:type="paragraph" w:styleId="Sottotitolo">
    <w:name w:val="Subtitle"/>
    <w:basedOn w:val="Normale"/>
    <w:next w:val="Normale"/>
    <w:link w:val="SottotitoloCarattere"/>
    <w:uiPriority w:val="11"/>
    <w:qFormat/>
    <w:rsid w:val="00654D58"/>
    <w:pPr>
      <w:spacing w:after="60"/>
      <w:jc w:val="center"/>
      <w:outlineLvl w:val="1"/>
    </w:pPr>
    <w:rPr>
      <w:rFonts w:ascii="Calibri Light" w:eastAsia="Times New Roman" w:hAnsi="Calibri Light"/>
      <w:noProof/>
      <w:sz w:val="24"/>
      <w:szCs w:val="24"/>
      <w:lang w:eastAsia="it-IT"/>
    </w:rPr>
  </w:style>
  <w:style w:type="character" w:customStyle="1" w:styleId="SottotitoloCarattere1">
    <w:name w:val="Sottotitolo Carattere1"/>
    <w:uiPriority w:val="11"/>
    <w:rsid w:val="00654D58"/>
    <w:rPr>
      <w:rFonts w:ascii="Calibri Light" w:eastAsia="Times New Roman" w:hAnsi="Calibri Light" w:cs="Times New Roman"/>
      <w:sz w:val="24"/>
      <w:szCs w:val="24"/>
      <w:lang w:eastAsia="en-US"/>
    </w:rPr>
  </w:style>
  <w:style w:type="paragraph" w:styleId="Nessunaspaziatura">
    <w:name w:val="No Spacing"/>
    <w:uiPriority w:val="1"/>
    <w:qFormat/>
    <w:rsid w:val="00654D58"/>
    <w:rPr>
      <w:sz w:val="22"/>
      <w:szCs w:val="22"/>
      <w:lang w:eastAsia="en-US"/>
    </w:rPr>
  </w:style>
  <w:style w:type="paragraph" w:styleId="Citazione">
    <w:name w:val="Quote"/>
    <w:basedOn w:val="Normale"/>
    <w:next w:val="Normale"/>
    <w:link w:val="CitazioneCarattere"/>
    <w:uiPriority w:val="29"/>
    <w:qFormat/>
    <w:rsid w:val="00654D58"/>
    <w:pPr>
      <w:spacing w:before="200" w:after="160"/>
      <w:ind w:left="864" w:right="864"/>
      <w:jc w:val="center"/>
    </w:pPr>
    <w:rPr>
      <w:i/>
      <w:iCs/>
      <w:noProof/>
      <w:color w:val="404040"/>
      <w:lang w:eastAsia="it-IT"/>
    </w:rPr>
  </w:style>
  <w:style w:type="character" w:customStyle="1" w:styleId="CitazioneCarattere1">
    <w:name w:val="Citazione Carattere1"/>
    <w:uiPriority w:val="29"/>
    <w:rsid w:val="00654D58"/>
    <w:rPr>
      <w:i/>
      <w:iCs/>
      <w:color w:val="404040"/>
      <w:sz w:val="22"/>
      <w:szCs w:val="22"/>
      <w:lang w:eastAsia="en-US"/>
    </w:rPr>
  </w:style>
  <w:style w:type="paragraph" w:styleId="Citazioneintensa">
    <w:name w:val="Intense Quote"/>
    <w:basedOn w:val="Normale"/>
    <w:next w:val="Normale"/>
    <w:link w:val="CitazioneintensaCarattere"/>
    <w:uiPriority w:val="30"/>
    <w:qFormat/>
    <w:rsid w:val="00654D58"/>
    <w:pPr>
      <w:pBdr>
        <w:top w:val="single" w:sz="4" w:space="10" w:color="5B9BD5"/>
        <w:bottom w:val="single" w:sz="4" w:space="10" w:color="5B9BD5"/>
      </w:pBdr>
      <w:spacing w:before="360" w:after="360"/>
      <w:ind w:left="864" w:right="864"/>
      <w:jc w:val="center"/>
    </w:pPr>
    <w:rPr>
      <w:i/>
      <w:iCs/>
      <w:noProof/>
      <w:color w:val="5B9BD5"/>
      <w:lang w:eastAsia="it-IT"/>
    </w:rPr>
  </w:style>
  <w:style w:type="character" w:customStyle="1" w:styleId="CitazioneintensaCarattere1">
    <w:name w:val="Citazione intensa Carattere1"/>
    <w:uiPriority w:val="30"/>
    <w:rsid w:val="00654D58"/>
    <w:rPr>
      <w:i/>
      <w:iCs/>
      <w:color w:val="5B9BD5"/>
      <w:sz w:val="22"/>
      <w:szCs w:val="22"/>
      <w:lang w:eastAsia="en-US"/>
    </w:rPr>
  </w:style>
  <w:style w:type="character" w:styleId="Enfasidelicata">
    <w:name w:val="Subtle Emphasis"/>
    <w:uiPriority w:val="19"/>
    <w:qFormat/>
    <w:rsid w:val="00654D58"/>
    <w:rPr>
      <w:i/>
      <w:iCs/>
      <w:color w:val="404040"/>
    </w:rPr>
  </w:style>
  <w:style w:type="character" w:styleId="Enfasiintensa">
    <w:name w:val="Intense Emphasis"/>
    <w:uiPriority w:val="21"/>
    <w:qFormat/>
    <w:rsid w:val="00654D58"/>
    <w:rPr>
      <w:i/>
      <w:iCs/>
      <w:color w:val="5B9BD5"/>
    </w:rPr>
  </w:style>
  <w:style w:type="character" w:styleId="Riferimentodelicato">
    <w:name w:val="Subtle Reference"/>
    <w:uiPriority w:val="31"/>
    <w:qFormat/>
    <w:rsid w:val="00654D58"/>
    <w:rPr>
      <w:smallCaps/>
      <w:color w:val="5A5A5A"/>
    </w:rPr>
  </w:style>
  <w:style w:type="character" w:styleId="Riferimentointenso">
    <w:name w:val="Intense Reference"/>
    <w:uiPriority w:val="32"/>
    <w:qFormat/>
    <w:rsid w:val="00654D58"/>
    <w:rPr>
      <w:b/>
      <w:bCs/>
      <w:smallCaps/>
      <w:color w:val="5B9BD5"/>
      <w:spacing w:val="5"/>
    </w:rPr>
  </w:style>
  <w:style w:type="paragraph" w:styleId="NormaleWeb">
    <w:name w:val="Normal (Web)"/>
    <w:basedOn w:val="Normale"/>
    <w:uiPriority w:val="99"/>
    <w:semiHidden/>
    <w:unhideWhenUsed/>
    <w:rsid w:val="00654D58"/>
    <w:rPr>
      <w:rFonts w:ascii="Times New Roman" w:hAnsi="Times New Roman"/>
      <w:sz w:val="24"/>
      <w:szCs w:val="24"/>
    </w:rPr>
  </w:style>
  <w:style w:type="paragraph" w:styleId="Testonotaapidipagina">
    <w:name w:val="footnote text"/>
    <w:basedOn w:val="Normale"/>
    <w:link w:val="TestonotaapidipaginaCarattere"/>
    <w:uiPriority w:val="99"/>
    <w:semiHidden/>
    <w:unhideWhenUsed/>
    <w:rsid w:val="004F21C0"/>
    <w:pPr>
      <w:spacing w:after="0" w:line="240" w:lineRule="auto"/>
    </w:pPr>
    <w:rPr>
      <w:rFonts w:ascii="Times New Roman" w:eastAsia="PMingLiU" w:hAnsi="Times New Roman"/>
      <w:sz w:val="20"/>
      <w:szCs w:val="20"/>
      <w:lang w:val="en-US"/>
    </w:rPr>
  </w:style>
  <w:style w:type="character" w:customStyle="1" w:styleId="TestonotaapidipaginaCarattere">
    <w:name w:val="Testo nota a piè di pagina Carattere"/>
    <w:link w:val="Testonotaapidipagina"/>
    <w:uiPriority w:val="99"/>
    <w:semiHidden/>
    <w:rsid w:val="004F21C0"/>
    <w:rPr>
      <w:rFonts w:ascii="Times New Roman" w:eastAsia="PMingLiU" w:hAnsi="Times New Roman"/>
      <w:lang w:val="en-US" w:eastAsia="en-US"/>
    </w:rPr>
  </w:style>
  <w:style w:type="character" w:styleId="Rimandonotaapidipagina">
    <w:name w:val="footnote reference"/>
    <w:semiHidden/>
    <w:unhideWhenUsed/>
    <w:rsid w:val="004F21C0"/>
    <w:rPr>
      <w:vertAlign w:val="superscript"/>
    </w:rPr>
  </w:style>
  <w:style w:type="numbering" w:customStyle="1" w:styleId="Nessunelenco2">
    <w:name w:val="Nessun elenco2"/>
    <w:next w:val="Nessunelenco"/>
    <w:uiPriority w:val="99"/>
    <w:semiHidden/>
    <w:unhideWhenUsed/>
    <w:rsid w:val="0021645E"/>
  </w:style>
  <w:style w:type="table" w:styleId="Grigliatabella">
    <w:name w:val="Table Grid"/>
    <w:basedOn w:val="Tabellanormale"/>
    <w:uiPriority w:val="59"/>
    <w:rsid w:val="002164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3D054A"/>
    <w:pPr>
      <w:spacing w:after="120"/>
      <w:ind w:left="283"/>
    </w:pPr>
  </w:style>
  <w:style w:type="character" w:customStyle="1" w:styleId="RientrocorpodeltestoCarattere">
    <w:name w:val="Rientro corpo del testo Carattere"/>
    <w:link w:val="Rientrocorpodeltesto"/>
    <w:uiPriority w:val="99"/>
    <w:semiHidden/>
    <w:rsid w:val="003D054A"/>
    <w:rPr>
      <w:sz w:val="22"/>
      <w:szCs w:val="22"/>
      <w:lang w:eastAsia="en-US"/>
    </w:rPr>
  </w:style>
  <w:style w:type="paragraph" w:styleId="Corpodeltesto3">
    <w:name w:val="Body Text 3"/>
    <w:basedOn w:val="Normale"/>
    <w:link w:val="Corpodeltesto3Carattere"/>
    <w:uiPriority w:val="99"/>
    <w:semiHidden/>
    <w:unhideWhenUsed/>
    <w:rsid w:val="003D054A"/>
    <w:pPr>
      <w:spacing w:after="120"/>
    </w:pPr>
    <w:rPr>
      <w:sz w:val="16"/>
      <w:szCs w:val="16"/>
    </w:rPr>
  </w:style>
  <w:style w:type="character" w:customStyle="1" w:styleId="Corpodeltesto3Carattere">
    <w:name w:val="Corpo del testo 3 Carattere"/>
    <w:link w:val="Corpodeltesto3"/>
    <w:uiPriority w:val="99"/>
    <w:semiHidden/>
    <w:rsid w:val="003D054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2555">
      <w:bodyDiv w:val="1"/>
      <w:marLeft w:val="0"/>
      <w:marRight w:val="0"/>
      <w:marTop w:val="0"/>
      <w:marBottom w:val="0"/>
      <w:divBdr>
        <w:top w:val="none" w:sz="0" w:space="0" w:color="auto"/>
        <w:left w:val="none" w:sz="0" w:space="0" w:color="auto"/>
        <w:bottom w:val="none" w:sz="0" w:space="0" w:color="auto"/>
        <w:right w:val="none" w:sz="0" w:space="0" w:color="auto"/>
      </w:divBdr>
    </w:div>
    <w:div w:id="13801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B795-5D1A-41F6-B2D4-4C529076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3074</Words>
  <Characters>17525</Characters>
  <Application>Microsoft Office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20558</CharactersWithSpaces>
  <SharedDoc>false</SharedDoc>
  <HLinks>
    <vt:vector size="6" baseType="variant">
      <vt:variant>
        <vt:i4>786446</vt:i4>
      </vt:variant>
      <vt:variant>
        <vt:i4>0</vt:i4>
      </vt:variant>
      <vt:variant>
        <vt:i4>0</vt:i4>
      </vt:variant>
      <vt:variant>
        <vt:i4>5</vt:i4>
      </vt:variant>
      <vt:variant>
        <vt:lpwstr>http://www.expartecreditoris.it/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PARTE CREDITORIS</dc:creator>
  <cp:keywords/>
  <cp:lastModifiedBy>antonio de simone</cp:lastModifiedBy>
  <cp:revision>2</cp:revision>
  <cp:lastPrinted>2019-04-02T14:05:00Z</cp:lastPrinted>
  <dcterms:created xsi:type="dcterms:W3CDTF">2022-09-12T15:30:00Z</dcterms:created>
  <dcterms:modified xsi:type="dcterms:W3CDTF">2022-09-12T15:30:00Z</dcterms:modified>
</cp:coreProperties>
</file>